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6F1623C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6B4354">
                              <w:rPr>
                                <w:b/>
                                <w:color w:val="000000" w:themeColor="text1"/>
                                <w:sz w:val="32"/>
                              </w:rPr>
                              <w:t>en grandes cultures » - Niveau 2</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20849C63" w:rsidR="00E32875" w:rsidRPr="00AA4FDE" w:rsidRDefault="00E32875" w:rsidP="0013004F">
                            <w:pPr>
                              <w:jc w:val="center"/>
                              <w:rPr>
                                <w:b/>
                                <w:color w:val="000000" w:themeColor="text1"/>
                                <w:sz w:val="32"/>
                              </w:rPr>
                            </w:pPr>
                            <w:r w:rsidRPr="00AA4FDE">
                              <w:rPr>
                                <w:b/>
                                <w:color w:val="000000" w:themeColor="text1"/>
                                <w:sz w:val="32"/>
                              </w:rPr>
                              <w:t xml:space="preserve">Campagne </w:t>
                            </w:r>
                            <w:r w:rsidR="00C31A15">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6F1623C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6B4354">
                        <w:rPr>
                          <w:b/>
                          <w:color w:val="000000" w:themeColor="text1"/>
                          <w:sz w:val="32"/>
                        </w:rPr>
                        <w:t>en grandes cultures » - Niveau 2</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20849C63" w:rsidR="00E32875" w:rsidRPr="00AA4FDE" w:rsidRDefault="00E32875" w:rsidP="0013004F">
                      <w:pPr>
                        <w:jc w:val="center"/>
                        <w:rPr>
                          <w:b/>
                          <w:color w:val="000000" w:themeColor="text1"/>
                          <w:sz w:val="32"/>
                        </w:rPr>
                      </w:pPr>
                      <w:r w:rsidRPr="00AA4FDE">
                        <w:rPr>
                          <w:b/>
                          <w:color w:val="000000" w:themeColor="text1"/>
                          <w:sz w:val="32"/>
                        </w:rPr>
                        <w:t xml:space="preserve">Campagne </w:t>
                      </w:r>
                      <w:r w:rsidR="00C31A15">
                        <w:rPr>
                          <w:b/>
                          <w:color w:val="000000" w:themeColor="text1"/>
                          <w:sz w:val="32"/>
                        </w:rPr>
                        <w:t>2023</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333C93E0"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BD23F4">
        <w:rPr>
          <w:b/>
        </w:rPr>
        <w:t xml:space="preserve">une aide de </w:t>
      </w:r>
      <w:r w:rsidR="00C35AC4">
        <w:rPr>
          <w:b/>
        </w:rPr>
        <w:t>136</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cofinanceurs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r w:rsidR="0000247A" w:rsidRPr="00AA4FDE">
        <w:t>peuvent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lastRenderedPageBreak/>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télépac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lastRenderedPageBreak/>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lastRenderedPageBreak/>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75ED50B7" w:rsidR="009906FE" w:rsidRPr="00AA4FDE" w:rsidRDefault="009906FE" w:rsidP="0058204D">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2025</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BD23F4" w:rsidRPr="00AA4FDE" w14:paraId="11342D9D" w14:textId="77777777" w:rsidTr="00076ADF">
        <w:trPr>
          <w:trHeight w:val="149"/>
        </w:trPr>
        <w:tc>
          <w:tcPr>
            <w:tcW w:w="6533" w:type="dxa"/>
            <w:vAlign w:val="center"/>
          </w:tcPr>
          <w:p w14:paraId="3ED9AC49" w14:textId="6F99BDFB" w:rsidR="00BD23F4" w:rsidRPr="00AA4FDE" w:rsidRDefault="00C31A15" w:rsidP="00BD23F4">
            <w:pPr>
              <w:rPr>
                <w:sz w:val="18"/>
              </w:rPr>
            </w:pPr>
            <w:r w:rsidRPr="00AA4FDE">
              <w:rPr>
                <w:sz w:val="18"/>
              </w:rPr>
              <w:t>Avoir chaque année</w:t>
            </w:r>
            <w:r>
              <w:rPr>
                <w:sz w:val="18"/>
              </w:rPr>
              <w:t xml:space="preserve"> au moins</w:t>
            </w:r>
            <w:r w:rsidRPr="00AA4FDE">
              <w:rPr>
                <w:sz w:val="18"/>
              </w:rPr>
              <w:t xml:space="preserve"> </w:t>
            </w:r>
            <w:r w:rsidRPr="00AA4FDE">
              <w:rPr>
                <w:sz w:val="18"/>
                <w:highlight w:val="yellow"/>
              </w:rPr>
              <w:t>X</w:t>
            </w:r>
            <w:r w:rsidRPr="00AA4FDE">
              <w:rPr>
                <w:sz w:val="18"/>
              </w:rPr>
              <w:t xml:space="preserve">% </w:t>
            </w:r>
            <w:r w:rsidRPr="00D012D5">
              <w:rPr>
                <w:i/>
                <w:sz w:val="18"/>
                <w:highlight w:val="yellow"/>
              </w:rPr>
              <w:t>[10≤X≤40]</w:t>
            </w:r>
            <w:r w:rsidRPr="00D012D5">
              <w:rPr>
                <w:i/>
                <w:sz w:val="18"/>
              </w:rPr>
              <w:t xml:space="preserve">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0DB8B1F" w14:textId="77777777" w:rsidR="00BD23F4" w:rsidRPr="00FF58AC" w:rsidRDefault="00BD23F4" w:rsidP="00BD23F4">
            <w:pPr>
              <w:jc w:val="center"/>
              <w:rPr>
                <w:b/>
                <w:sz w:val="18"/>
                <w:szCs w:val="20"/>
              </w:rPr>
            </w:pPr>
            <w:r w:rsidRPr="00FF58AC">
              <w:rPr>
                <w:b/>
                <w:sz w:val="18"/>
                <w:szCs w:val="20"/>
              </w:rPr>
              <w:t>Contrôle administratif</w:t>
            </w:r>
          </w:p>
          <w:p w14:paraId="5ADB91E3" w14:textId="1B425DA4" w:rsidR="00BD23F4" w:rsidRDefault="00BD23F4" w:rsidP="00C31A15">
            <w:pPr>
              <w:jc w:val="center"/>
              <w:rPr>
                <w:b/>
                <w:sz w:val="18"/>
                <w:szCs w:val="20"/>
              </w:rPr>
            </w:pPr>
            <w:r w:rsidRPr="00FF58AC">
              <w:rPr>
                <w:sz w:val="18"/>
                <w:szCs w:val="20"/>
              </w:rPr>
              <w:t>Sur la base des éléments du dossier PAC</w:t>
            </w:r>
          </w:p>
        </w:tc>
        <w:tc>
          <w:tcPr>
            <w:tcW w:w="3798" w:type="dxa"/>
            <w:vAlign w:val="center"/>
          </w:tcPr>
          <w:p w14:paraId="3478968B" w14:textId="098C1017"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BD23F4" w:rsidRPr="00AA4FDE" w14:paraId="3AB87F55" w14:textId="77777777" w:rsidTr="00076ADF">
        <w:trPr>
          <w:trHeight w:val="149"/>
        </w:trPr>
        <w:tc>
          <w:tcPr>
            <w:tcW w:w="6533" w:type="dxa"/>
            <w:vAlign w:val="center"/>
          </w:tcPr>
          <w:p w14:paraId="0623D4C3" w14:textId="77777777" w:rsidR="00C31A15" w:rsidRPr="00AA4FDE" w:rsidRDefault="00C31A15" w:rsidP="00C31A15">
            <w:pPr>
              <w:rPr>
                <w:i/>
                <w:sz w:val="18"/>
                <w:highlight w:val="yellow"/>
              </w:rPr>
            </w:pPr>
            <w:r w:rsidRPr="00AA4FDE">
              <w:rPr>
                <w:i/>
                <w:sz w:val="18"/>
                <w:highlight w:val="yellow"/>
              </w:rPr>
              <w:t>Si retenu par le territoire, indiquer cette ligne du tableau :</w:t>
            </w:r>
          </w:p>
          <w:p w14:paraId="0601759A" w14:textId="0D09C187" w:rsidR="00BD23F4" w:rsidRPr="00AA4FDE" w:rsidRDefault="00C31A15" w:rsidP="00C31A15">
            <w:pPr>
              <w:rPr>
                <w:sz w:val="18"/>
              </w:rPr>
            </w:pPr>
            <w:r w:rsidRPr="00AA4FDE">
              <w:rPr>
                <w:sz w:val="18"/>
                <w:highlight w:val="yellow"/>
              </w:rPr>
              <w:t xml:space="preserve">Avoir </w:t>
            </w:r>
            <w:r w:rsidR="00C34680">
              <w:rPr>
                <w:sz w:val="18"/>
                <w:highlight w:val="yellow"/>
              </w:rPr>
              <w:t>chaque année au moins</w:t>
            </w:r>
            <w:r w:rsidR="00C34680" w:rsidRPr="00AA4FDE">
              <w:rPr>
                <w:sz w:val="18"/>
                <w:highlight w:val="yellow"/>
              </w:rPr>
              <w:t xml:space="preserve"> </w:t>
            </w:r>
            <w:r w:rsidRPr="00AA4FDE">
              <w:rPr>
                <w:sz w:val="18"/>
                <w:highlight w:val="yellow"/>
              </w:rPr>
              <w:t xml:space="preserve">Y%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18C8AB6" w14:textId="77777777" w:rsidR="00BD23F4" w:rsidRPr="00FF58AC" w:rsidRDefault="00BD23F4" w:rsidP="00BD23F4">
            <w:pPr>
              <w:jc w:val="center"/>
              <w:rPr>
                <w:b/>
                <w:sz w:val="18"/>
                <w:szCs w:val="20"/>
              </w:rPr>
            </w:pPr>
            <w:r w:rsidRPr="00FF58AC">
              <w:rPr>
                <w:b/>
                <w:sz w:val="18"/>
                <w:szCs w:val="20"/>
              </w:rPr>
              <w:t>Contrôle administratif</w:t>
            </w:r>
          </w:p>
          <w:p w14:paraId="5B2F3449" w14:textId="37B263D3" w:rsidR="00BD23F4" w:rsidRDefault="00BD23F4" w:rsidP="00BD23F4">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798" w:type="dxa"/>
            <w:vAlign w:val="center"/>
          </w:tcPr>
          <w:p w14:paraId="3CF5BF4B" w14:textId="51AC6B4B"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49E50257" w14:textId="77777777" w:rsidR="00633826" w:rsidRPr="00633826" w:rsidRDefault="00633826" w:rsidP="00EA29A5">
            <w:pPr>
              <w:rPr>
                <w:rFonts w:cs="Calibri"/>
                <w:sz w:val="6"/>
                <w:szCs w:val="6"/>
              </w:rPr>
            </w:pPr>
          </w:p>
          <w:p w14:paraId="1F5A2D06" w14:textId="77777777" w:rsidR="00DB49DD" w:rsidRDefault="00DB49DD" w:rsidP="00EA29A5">
            <w:pPr>
              <w:rPr>
                <w:rFonts w:cs="Calibri"/>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p w14:paraId="52AA79B6" w14:textId="6D8B982F" w:rsidR="00633826" w:rsidRPr="00633826" w:rsidRDefault="00633826" w:rsidP="00EA29A5">
            <w:pPr>
              <w:rPr>
                <w:sz w:val="6"/>
                <w:szCs w:val="6"/>
              </w:rPr>
            </w:pPr>
          </w:p>
        </w:tc>
        <w:tc>
          <w:tcPr>
            <w:tcW w:w="1405" w:type="dxa"/>
            <w:vAlign w:val="center"/>
          </w:tcPr>
          <w:p w14:paraId="0F638A9A" w14:textId="25AFC9E7"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5CEC5562" w14:textId="77777777" w:rsidR="00633826" w:rsidRPr="00633826" w:rsidRDefault="00633826" w:rsidP="00C31A15">
            <w:pPr>
              <w:rPr>
                <w:rFonts w:cs="Calibri"/>
                <w:sz w:val="6"/>
                <w:szCs w:val="6"/>
              </w:rPr>
            </w:pPr>
          </w:p>
          <w:p w14:paraId="11CC4B73" w14:textId="7F9A48EB" w:rsidR="00C31A15" w:rsidRPr="00AA4FDE" w:rsidRDefault="00C31A15" w:rsidP="00C31A15">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577312C" w14:textId="77777777" w:rsidR="00C31A15" w:rsidRPr="00AA4FDE" w:rsidRDefault="00C31A15" w:rsidP="00C31A15">
            <w:pPr>
              <w:rPr>
                <w:rFonts w:cs="Calibri"/>
                <w:sz w:val="18"/>
              </w:rPr>
            </w:pPr>
          </w:p>
          <w:p w14:paraId="0ECF60E8" w14:textId="77777777" w:rsidR="00DB49DD" w:rsidRDefault="00C31A15" w:rsidP="00C31A15">
            <w:pPr>
              <w:rPr>
                <w:rFonts w:cs="Calibri"/>
                <w:i/>
                <w:sz w:val="18"/>
              </w:rPr>
            </w:pPr>
            <w:r w:rsidRPr="00AA4FDE">
              <w:rPr>
                <w:rFonts w:cs="Calibri"/>
                <w:i/>
                <w:sz w:val="18"/>
              </w:rPr>
              <w:t>Les surfaces comptabilisées ici doivent répondre à la définition de la BCAE 8 de la conditionnalité</w:t>
            </w:r>
            <w:r>
              <w:rPr>
                <w:rFonts w:cs="Calibri"/>
                <w:i/>
                <w:sz w:val="18"/>
              </w:rPr>
              <w:t>.</w:t>
            </w:r>
          </w:p>
          <w:p w14:paraId="71546B44" w14:textId="62E1E307" w:rsidR="00633826" w:rsidRPr="00633826" w:rsidRDefault="00633826" w:rsidP="00C31A15">
            <w:pPr>
              <w:rPr>
                <w:i/>
                <w:sz w:val="6"/>
                <w:szCs w:val="6"/>
              </w:rPr>
            </w:pPr>
          </w:p>
        </w:tc>
        <w:tc>
          <w:tcPr>
            <w:tcW w:w="1405" w:type="dxa"/>
            <w:vAlign w:val="center"/>
          </w:tcPr>
          <w:p w14:paraId="4FDD7854" w14:textId="42CBB09A" w:rsidR="00DB49DD" w:rsidRPr="00AA4FDE" w:rsidRDefault="00D74FB5" w:rsidP="00D74FB5">
            <w:pPr>
              <w:jc w:val="center"/>
              <w:rPr>
                <w:b/>
                <w:sz w:val="18"/>
                <w:szCs w:val="20"/>
              </w:rPr>
            </w:pPr>
            <w:r w:rsidRPr="00AA4FDE">
              <w:rPr>
                <w:b/>
                <w:sz w:val="18"/>
                <w:szCs w:val="20"/>
              </w:rPr>
              <w:t>A partir du 15 mai 2024</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7509B2BD" w14:textId="77777777" w:rsidR="00633826" w:rsidRPr="00633826" w:rsidRDefault="00633826" w:rsidP="00C31A15">
            <w:pPr>
              <w:rPr>
                <w:rFonts w:cs="Calibri"/>
                <w:sz w:val="6"/>
                <w:szCs w:val="6"/>
              </w:rPr>
            </w:pPr>
          </w:p>
          <w:p w14:paraId="6F06A30D" w14:textId="5805E407" w:rsidR="00C31A15" w:rsidRPr="00AA4FDE" w:rsidRDefault="00C31A15" w:rsidP="00C31A15">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CAA0EF3" w14:textId="77777777" w:rsidR="00C31A15" w:rsidRPr="00AA4FDE" w:rsidRDefault="00C31A15" w:rsidP="00C31A15">
            <w:pPr>
              <w:rPr>
                <w:rFonts w:cs="Calibri"/>
                <w:sz w:val="18"/>
              </w:rPr>
            </w:pPr>
          </w:p>
          <w:p w14:paraId="03E31DE4" w14:textId="77777777" w:rsidR="00DB49DD" w:rsidRDefault="00C31A15" w:rsidP="00C31A15">
            <w:pPr>
              <w:rPr>
                <w:rFonts w:cs="Calibri"/>
                <w:i/>
                <w:sz w:val="18"/>
              </w:rPr>
            </w:pPr>
            <w:r w:rsidRPr="00AA4FDE">
              <w:rPr>
                <w:rFonts w:cs="Calibri"/>
                <w:i/>
                <w:sz w:val="18"/>
              </w:rPr>
              <w:t>Les éléments comptabilisées ici doivent répondre à la définition de la BCAE 8 de la conditionnalité</w:t>
            </w:r>
            <w:r>
              <w:rPr>
                <w:rFonts w:cs="Calibri"/>
                <w:i/>
                <w:sz w:val="18"/>
              </w:rPr>
              <w:t>.</w:t>
            </w:r>
          </w:p>
          <w:p w14:paraId="55D3CC71" w14:textId="2A4A6A77" w:rsidR="00633826" w:rsidRPr="00633826" w:rsidRDefault="00633826" w:rsidP="00C31A15">
            <w:pPr>
              <w:rPr>
                <w:sz w:val="6"/>
                <w:szCs w:val="6"/>
              </w:rPr>
            </w:pPr>
          </w:p>
        </w:tc>
        <w:tc>
          <w:tcPr>
            <w:tcW w:w="1405" w:type="dxa"/>
            <w:vAlign w:val="center"/>
          </w:tcPr>
          <w:p w14:paraId="76C9EFDE" w14:textId="0A9BE4E1" w:rsidR="00DB49DD" w:rsidRPr="00AA4FDE" w:rsidRDefault="00D74FB5" w:rsidP="00D74FB5">
            <w:pPr>
              <w:jc w:val="center"/>
              <w:rPr>
                <w:b/>
                <w:sz w:val="18"/>
                <w:szCs w:val="20"/>
              </w:rPr>
            </w:pPr>
            <w:r w:rsidRPr="00AA4FDE">
              <w:rPr>
                <w:b/>
                <w:sz w:val="18"/>
                <w:szCs w:val="20"/>
              </w:rPr>
              <w:t>A partir du 15 mai 2026</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3A8058B8" w14:textId="77777777" w:rsidR="00633826" w:rsidRPr="00633826" w:rsidRDefault="00633826" w:rsidP="008F1C69">
            <w:pPr>
              <w:rPr>
                <w:rFonts w:cs="Calibri"/>
                <w:sz w:val="6"/>
                <w:szCs w:val="6"/>
              </w:rPr>
            </w:pPr>
          </w:p>
          <w:p w14:paraId="21E2B3E3" w14:textId="77777777" w:rsidR="00DB49DD" w:rsidRDefault="00DB49DD" w:rsidP="008F1C69">
            <w:pPr>
              <w:rPr>
                <w:rFonts w:cs="Calibri"/>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p w14:paraId="70F2960B" w14:textId="17228205" w:rsidR="00633826" w:rsidRPr="00633826" w:rsidRDefault="00633826" w:rsidP="008F1C69">
            <w:pPr>
              <w:rPr>
                <w:i/>
                <w:sz w:val="6"/>
                <w:szCs w:val="6"/>
              </w:rPr>
            </w:pP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4B7193BD" w14:textId="77777777" w:rsidTr="00076ADF">
        <w:trPr>
          <w:trHeight w:val="157"/>
        </w:trPr>
        <w:tc>
          <w:tcPr>
            <w:tcW w:w="6533" w:type="dxa"/>
            <w:vAlign w:val="center"/>
          </w:tcPr>
          <w:p w14:paraId="10C38B62" w14:textId="77777777" w:rsidR="00633826" w:rsidRPr="00633826" w:rsidRDefault="00633826" w:rsidP="008F1C69">
            <w:pPr>
              <w:rPr>
                <w:rFonts w:cs="Calibri"/>
                <w:sz w:val="6"/>
                <w:szCs w:val="6"/>
              </w:rPr>
            </w:pPr>
          </w:p>
          <w:p w14:paraId="64FC35F0" w14:textId="77777777" w:rsidR="00361F1F"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p w14:paraId="24987B74" w14:textId="37842E97" w:rsidR="00633826" w:rsidRPr="00633826" w:rsidRDefault="00633826" w:rsidP="008F1C69">
            <w:pPr>
              <w:rPr>
                <w:rFonts w:cs="Calibri"/>
                <w:sz w:val="6"/>
                <w:szCs w:val="6"/>
              </w:rPr>
            </w:pP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8E852EC" w:rsidR="00361F1F" w:rsidRPr="00AA4FDE" w:rsidRDefault="002E5560" w:rsidP="00BD23F4">
            <w:pPr>
              <w:rPr>
                <w:rFonts w:cs="Calibri"/>
                <w:sz w:val="18"/>
              </w:rPr>
            </w:pPr>
            <w:r>
              <w:rPr>
                <w:rFonts w:cs="Calibri"/>
                <w:sz w:val="18"/>
              </w:rPr>
              <w:t>Réaliser un bilan azoté prévisionnel chaque année. Se référer au point 7.</w:t>
            </w:r>
            <w:r w:rsidR="00BD23F4">
              <w:rPr>
                <w:rFonts w:cs="Calibri"/>
                <w:sz w:val="18"/>
              </w:rPr>
              <w:t>4</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68354295" w:rsidR="00361F1F" w:rsidRPr="00AA4FDE" w:rsidRDefault="001A7B8C" w:rsidP="008F1C69">
            <w:pPr>
              <w:rPr>
                <w:rFonts w:cs="Calibri"/>
                <w:sz w:val="18"/>
              </w:rPr>
            </w:pPr>
            <w:r>
              <w:rPr>
                <w:rFonts w:cs="Calibri"/>
                <w:sz w:val="18"/>
              </w:rPr>
              <w:t>A partir de la deuxième année d’engagement (campagne culturale 2023/2024), ne pas dépasser la pression en azote minéral maximale de l’année, en moyenne à l’échelle de l’explo</w:t>
            </w:r>
            <w:r w:rsidR="00EA29A5">
              <w:rPr>
                <w:rFonts w:cs="Calibri"/>
                <w:sz w:val="18"/>
              </w:rPr>
              <w:t>itation. Se référer au point 7.</w:t>
            </w:r>
            <w:r w:rsidR="00BD23F4">
              <w:rPr>
                <w:rFonts w:cs="Calibri"/>
                <w:sz w:val="18"/>
              </w:rPr>
              <w:t>5</w:t>
            </w:r>
            <w:r>
              <w:rPr>
                <w:rFonts w:cs="Calibri"/>
                <w:sz w:val="18"/>
              </w:rPr>
              <w:t>.</w:t>
            </w:r>
          </w:p>
        </w:tc>
        <w:tc>
          <w:tcPr>
            <w:tcW w:w="1405" w:type="dxa"/>
            <w:vAlign w:val="center"/>
          </w:tcPr>
          <w:p w14:paraId="6963D1D0" w14:textId="346A1E1C" w:rsidR="00361F1F" w:rsidRPr="00AA4FDE" w:rsidRDefault="001A7B8C" w:rsidP="00361F1F">
            <w:pPr>
              <w:jc w:val="center"/>
              <w:rPr>
                <w:b/>
                <w:sz w:val="18"/>
                <w:szCs w:val="20"/>
              </w:rPr>
            </w:pPr>
            <w:r>
              <w:rPr>
                <w:b/>
                <w:sz w:val="18"/>
                <w:szCs w:val="20"/>
              </w:rPr>
              <w:t>A partir de la campagne culturale 2023/2024</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F76811" w:rsidRPr="00AA4FDE" w14:paraId="7FD20FB5" w14:textId="77777777" w:rsidTr="00076ADF">
        <w:trPr>
          <w:trHeight w:val="157"/>
        </w:trPr>
        <w:tc>
          <w:tcPr>
            <w:tcW w:w="6533" w:type="dxa"/>
            <w:vAlign w:val="center"/>
          </w:tcPr>
          <w:p w14:paraId="039ADA66" w14:textId="77777777" w:rsidR="00633826" w:rsidRPr="00633826" w:rsidRDefault="00633826" w:rsidP="00EA29A5">
            <w:pPr>
              <w:rPr>
                <w:rFonts w:cs="Calibri"/>
                <w:sz w:val="6"/>
                <w:szCs w:val="6"/>
              </w:rPr>
            </w:pPr>
          </w:p>
          <w:p w14:paraId="04DB7AE3" w14:textId="77777777"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en céréales et oléoprotéagineux (COP) ou cultures légumières</w:t>
            </w:r>
            <w:r w:rsidR="00D223F1">
              <w:rPr>
                <w:rFonts w:cs="Calibri"/>
                <w:sz w:val="18"/>
              </w:rPr>
              <w:t xml:space="preserve">, selon les indications données au </w:t>
            </w:r>
            <w:r w:rsidR="00C1192C">
              <w:rPr>
                <w:rFonts w:cs="Calibri"/>
                <w:sz w:val="18"/>
              </w:rPr>
              <w:t>point 7.</w:t>
            </w:r>
            <w:r w:rsidR="00BD23F4">
              <w:rPr>
                <w:rFonts w:cs="Calibri"/>
                <w:sz w:val="18"/>
              </w:rPr>
              <w:t>6</w:t>
            </w:r>
            <w:r>
              <w:rPr>
                <w:rFonts w:cs="Calibri"/>
                <w:sz w:val="18"/>
              </w:rPr>
              <w:t> : reliquat entrée hiver (REH) et reliquat sortie hiver (RSH)</w:t>
            </w:r>
          </w:p>
          <w:p w14:paraId="31984431" w14:textId="7C0271FA" w:rsidR="00633826" w:rsidRPr="00633826" w:rsidRDefault="00633826" w:rsidP="00EA29A5">
            <w:pPr>
              <w:rPr>
                <w:rFonts w:cs="Calibri"/>
                <w:sz w:val="6"/>
                <w:szCs w:val="6"/>
              </w:rPr>
            </w:pP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40442018" w14:textId="77777777" w:rsidR="00633826" w:rsidRPr="00633826" w:rsidRDefault="00633826" w:rsidP="008F1C69">
            <w:pPr>
              <w:rPr>
                <w:rFonts w:cs="Calibri"/>
                <w:sz w:val="6"/>
                <w:szCs w:val="6"/>
              </w:rPr>
            </w:pPr>
          </w:p>
          <w:p w14:paraId="04C296F6" w14:textId="77777777"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p w14:paraId="655C9BA0" w14:textId="50BD2F0B" w:rsidR="00633826" w:rsidRPr="00633826" w:rsidRDefault="00633826" w:rsidP="008F1C69">
            <w:pPr>
              <w:rPr>
                <w:rFonts w:cs="Calibri"/>
                <w:sz w:val="6"/>
                <w:szCs w:val="6"/>
              </w:rPr>
            </w:pPr>
          </w:p>
        </w:tc>
        <w:tc>
          <w:tcPr>
            <w:tcW w:w="1405" w:type="dxa"/>
            <w:vAlign w:val="center"/>
          </w:tcPr>
          <w:p w14:paraId="2CCB3B64" w14:textId="191070DF" w:rsidR="00F76811" w:rsidRPr="00D75547" w:rsidRDefault="002A485D" w:rsidP="00361F1F">
            <w:pPr>
              <w:jc w:val="center"/>
              <w:rPr>
                <w:b/>
                <w:sz w:val="18"/>
                <w:szCs w:val="20"/>
              </w:rPr>
            </w:pPr>
            <w:r w:rsidRPr="00AA4FDE">
              <w:rPr>
                <w:b/>
                <w:sz w:val="18"/>
                <w:szCs w:val="20"/>
              </w:rPr>
              <w:t>A partir du 15 mai 2024</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1946B4D2" w:rsidR="00F76811" w:rsidRDefault="00063E80" w:rsidP="00BD23F4">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(kgN</w:t>
            </w:r>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BD23F4">
              <w:rPr>
                <w:rFonts w:cs="Calibri"/>
                <w:sz w:val="18"/>
              </w:rPr>
              <w:t xml:space="preserve"> au point 7.6</w:t>
            </w:r>
            <w:r w:rsidR="000D7FDA">
              <w:rPr>
                <w:rFonts w:cs="Calibri"/>
                <w:sz w:val="18"/>
              </w:rPr>
              <w:t>.</w:t>
            </w:r>
          </w:p>
        </w:tc>
        <w:tc>
          <w:tcPr>
            <w:tcW w:w="1405" w:type="dxa"/>
            <w:vAlign w:val="center"/>
          </w:tcPr>
          <w:p w14:paraId="34F93889" w14:textId="1C8705C5" w:rsidR="00F76811" w:rsidRPr="00D75547" w:rsidRDefault="002A485D" w:rsidP="00361F1F">
            <w:pPr>
              <w:jc w:val="center"/>
              <w:rPr>
                <w:b/>
                <w:sz w:val="18"/>
                <w:szCs w:val="20"/>
              </w:rPr>
            </w:pPr>
            <w:r w:rsidRPr="00AA4FDE">
              <w:rPr>
                <w:b/>
                <w:sz w:val="18"/>
                <w:szCs w:val="20"/>
              </w:rPr>
              <w:t>A partir du 15 mai 2024</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05A4014F" w:rsidR="00872D43" w:rsidRDefault="00EA29A5" w:rsidP="008125C6">
      <w:pPr>
        <w:pStyle w:val="Titre2"/>
        <w:spacing w:after="0"/>
        <w:rPr>
          <w:rFonts w:cstheme="majorHAnsi"/>
          <w:szCs w:val="24"/>
        </w:rPr>
      </w:pPr>
      <w:r>
        <w:rPr>
          <w:rFonts w:cstheme="majorHAnsi"/>
          <w:szCs w:val="24"/>
        </w:rPr>
        <w:t>Définitions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télépac « Liste des cultures et précisions ») : </w:t>
      </w:r>
    </w:p>
    <w:p w14:paraId="483243AA" w14:textId="77777777" w:rsidR="00BD23F4" w:rsidRDefault="00BD23F4" w:rsidP="00BD23F4">
      <w:pPr>
        <w:numPr>
          <w:ilvl w:val="0"/>
          <w:numId w:val="46"/>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r>
        <w:t>tous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(voir notice télépac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lastRenderedPageBreak/>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35CB0861"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2023, au titre de la campagne culturale 2023/2024.</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574575A2"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2023-2024)</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34A35418"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 2024-2025)</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5D3041" w:rsidRPr="005D3041" w:rsidRDefault="009A27CB" w:rsidP="00CE75EA">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3832D059"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2025-2026)</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5D3041" w:rsidRPr="005D3041" w:rsidRDefault="009A27CB" w:rsidP="008125C6">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8125C6">
              <w:rPr>
                <w:rFonts w:eastAsia="Times New Roman" w:cs="Calibri"/>
                <w:bCs/>
                <w:i/>
                <w:sz w:val="18"/>
                <w:highlight w:val="yellow"/>
                <w:lang w:eastAsia="fr-FR"/>
              </w:rPr>
              <w:t xml:space="preserve"> [70%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3F58219F"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2026-2027)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5D3041" w:rsidRPr="005D3041" w:rsidRDefault="009A27CB" w:rsidP="007B5CF3">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525B13"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77777777" w:rsidR="00F94294" w:rsidRPr="00CE75EA" w:rsidRDefault="00F94294"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3FEA9F0" w14:textId="628203B8" w:rsidR="00C1192C" w:rsidRDefault="006B14C1" w:rsidP="00C1192C">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r>
        <w:t xml:space="preserve"> </w:t>
      </w:r>
      <w:r w:rsidR="00F6448A" w:rsidRPr="00F6448A">
        <w:t>La localisation des re</w:t>
      </w:r>
      <w:r w:rsidR="00F6448A">
        <w:t xml:space="preserve">liquats </w:t>
      </w:r>
      <w:r w:rsidR="004E58CF">
        <w:t xml:space="preserve">s’effectue </w:t>
      </w:r>
      <w:r w:rsidR="00F6448A">
        <w:t xml:space="preserve">en fonction des </w:t>
      </w:r>
      <w:r w:rsidR="00F6448A" w:rsidRPr="00F6448A">
        <w:rPr>
          <w:i/>
          <w:highlight w:val="yellow"/>
        </w:rPr>
        <w:t>[CHOISIR :</w:t>
      </w:r>
      <w:r w:rsidR="00F6448A">
        <w:rPr>
          <w:i/>
          <w:highlight w:val="yellow"/>
        </w:rPr>
        <w:t>]</w:t>
      </w:r>
      <w:r w:rsidR="00F6448A" w:rsidRPr="00F6448A">
        <w:rPr>
          <w:i/>
          <w:highlight w:val="yellow"/>
        </w:rPr>
        <w:t xml:space="preserve"> </w:t>
      </w:r>
      <w:r w:rsidR="00E23EA3">
        <w:rPr>
          <w:highlight w:val="yellow"/>
        </w:rPr>
        <w:t>cultures</w:t>
      </w:r>
      <w:r w:rsidR="00F6448A" w:rsidRPr="00F6448A">
        <w:rPr>
          <w:highlight w:val="yellow"/>
        </w:rPr>
        <w:t xml:space="preserve"> </w:t>
      </w:r>
      <w:r w:rsidR="00E23EA3">
        <w:rPr>
          <w:i/>
          <w:highlight w:val="yellow"/>
        </w:rPr>
        <w:t xml:space="preserve">[et/ou] </w:t>
      </w:r>
      <w:r w:rsidR="00F6448A"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00F6448A" w:rsidRPr="00F6448A">
        <w:t xml:space="preserve">des surfaces en COP et </w:t>
      </w:r>
      <w:r w:rsidR="00B450A6">
        <w:t>cultures légumières</w:t>
      </w:r>
      <w:r w:rsidR="00B450A6" w:rsidRPr="00F6448A">
        <w:t xml:space="preserve"> </w:t>
      </w:r>
      <w:r w:rsidR="00F6448A"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01285690" w14:textId="145A5EEC" w:rsidR="00553CBB" w:rsidRPr="00BF1A7D" w:rsidRDefault="00553CBB" w:rsidP="00553CBB">
      <w:pPr>
        <w:pStyle w:val="Paragraphedeliste"/>
        <w:numPr>
          <w:ilvl w:val="0"/>
          <w:numId w:val="42"/>
        </w:numPr>
        <w:spacing w:line="240" w:lineRule="auto"/>
        <w:rPr>
          <w:highlight w:val="yellow"/>
        </w:rPr>
      </w:pPr>
      <w:r w:rsidRPr="00BF1A7D">
        <w:rPr>
          <w:highlight w:val="yellow"/>
        </w:rPr>
        <w:t>30 ha de blé</w:t>
      </w:r>
    </w:p>
    <w:p w14:paraId="64362BE1" w14:textId="0CDF1142"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15 ha de colza </w:t>
      </w:r>
    </w:p>
    <w:p w14:paraId="0D3E3243" w14:textId="0BA213B2" w:rsidR="00553CBB" w:rsidRPr="00BF1A7D" w:rsidRDefault="00553CBB" w:rsidP="00553CBB">
      <w:pPr>
        <w:pStyle w:val="Paragraphedeliste"/>
        <w:numPr>
          <w:ilvl w:val="0"/>
          <w:numId w:val="42"/>
        </w:numPr>
        <w:spacing w:line="240" w:lineRule="auto"/>
        <w:rPr>
          <w:highlight w:val="yellow"/>
        </w:rPr>
      </w:pPr>
      <w:r w:rsidRPr="00BF1A7D">
        <w:rPr>
          <w:highlight w:val="yellow"/>
        </w:rPr>
        <w:t>20 ha de prairie temporaire</w:t>
      </w:r>
    </w:p>
    <w:p w14:paraId="261AEE90" w14:textId="39E49ED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20 ha d’orge </w:t>
      </w:r>
    </w:p>
    <w:p w14:paraId="723EC2F5" w14:textId="5710F566" w:rsidR="00553CBB" w:rsidRPr="00BF1A7D" w:rsidRDefault="00553CBB" w:rsidP="00553CBB">
      <w:pPr>
        <w:pStyle w:val="Paragraphedeliste"/>
        <w:numPr>
          <w:ilvl w:val="0"/>
          <w:numId w:val="42"/>
        </w:numPr>
        <w:spacing w:line="240" w:lineRule="auto"/>
        <w:rPr>
          <w:highlight w:val="yellow"/>
        </w:rPr>
      </w:pPr>
      <w:r w:rsidRPr="00BF1A7D">
        <w:rPr>
          <w:highlight w:val="yellow"/>
        </w:rPr>
        <w:t xml:space="preserve">10 ha de maïs </w:t>
      </w:r>
    </w:p>
    <w:p w14:paraId="40A3222C" w14:textId="4E3E5109" w:rsidR="00553CBB" w:rsidRPr="00BF1A7D" w:rsidRDefault="00553CBB" w:rsidP="00553CBB">
      <w:pPr>
        <w:pStyle w:val="Paragraphedeliste"/>
        <w:numPr>
          <w:ilvl w:val="0"/>
          <w:numId w:val="42"/>
        </w:numPr>
        <w:spacing w:line="240" w:lineRule="auto"/>
        <w:rPr>
          <w:highlight w:val="yellow"/>
        </w:rPr>
      </w:pPr>
      <w:r w:rsidRPr="00BF1A7D">
        <w:rPr>
          <w:highlight w:val="yellow"/>
        </w:rPr>
        <w:t>5 ha de pomme-de-terre</w:t>
      </w:r>
    </w:p>
    <w:p w14:paraId="1FE63D02" w14:textId="686FD5C3" w:rsidR="00553CBB" w:rsidRPr="00BF1A7D" w:rsidRDefault="00553CBB" w:rsidP="00553CBB">
      <w:pPr>
        <w:rPr>
          <w:highlight w:val="yellow"/>
        </w:rPr>
      </w:pPr>
      <w:r w:rsidRPr="00BF1A7D">
        <w:rPr>
          <w:highlight w:val="yellow"/>
        </w:rPr>
        <w:t>Le bénéficiaire a réalisé 5 analyse</w:t>
      </w:r>
      <w:r w:rsidR="00BF1A7D" w:rsidRPr="00BF1A7D">
        <w:rPr>
          <w:highlight w:val="yellow"/>
        </w:rPr>
        <w:t>s</w:t>
      </w:r>
      <w:r w:rsidRPr="00BF1A7D">
        <w:rPr>
          <w:highlight w:val="yellow"/>
        </w:rPr>
        <w:t xml:space="preserve"> REH, </w:t>
      </w:r>
      <w:r w:rsidR="00BF1A7D" w:rsidRPr="00BF1A7D">
        <w:rPr>
          <w:highlight w:val="yellow"/>
        </w:rPr>
        <w:t xml:space="preserve">deux au sein </w:t>
      </w:r>
      <w:r w:rsidR="004756FB">
        <w:rPr>
          <w:highlight w:val="yellow"/>
        </w:rPr>
        <w:t>des parcelles déclarées en blé</w:t>
      </w:r>
      <w:r w:rsidR="00BF1A7D" w:rsidRPr="00BF1A7D">
        <w:rPr>
          <w:highlight w:val="yellow"/>
        </w:rPr>
        <w:t xml:space="preserve"> (REH1 et </w:t>
      </w:r>
      <w:r w:rsidRPr="00BF1A7D">
        <w:rPr>
          <w:highlight w:val="yellow"/>
        </w:rPr>
        <w:t>REH2),</w:t>
      </w:r>
      <w:r w:rsidR="00BF1A7D" w:rsidRPr="00BF1A7D">
        <w:rPr>
          <w:highlight w:val="yellow"/>
        </w:rPr>
        <w:t xml:space="preserve"> et </w:t>
      </w:r>
      <w:r w:rsidR="00D223F1">
        <w:rPr>
          <w:highlight w:val="yellow"/>
        </w:rPr>
        <w:t>trois</w:t>
      </w:r>
      <w:r w:rsidR="00BF1A7D" w:rsidRPr="00BF1A7D">
        <w:rPr>
          <w:highlight w:val="yellow"/>
        </w:rPr>
        <w:t xml:space="preserve"> au sein des </w:t>
      </w:r>
      <w:r w:rsidR="004756FB">
        <w:rPr>
          <w:highlight w:val="yellow"/>
        </w:rPr>
        <w:t>parcelles déclarées en colza</w:t>
      </w:r>
      <w:r w:rsidR="00BF1A7D" w:rsidRPr="00BF1A7D">
        <w:rPr>
          <w:highlight w:val="yellow"/>
        </w:rPr>
        <w:t xml:space="preserve"> (REH3), </w:t>
      </w:r>
      <w:r w:rsidR="004756FB">
        <w:rPr>
          <w:highlight w:val="yellow"/>
        </w:rPr>
        <w:t>orge</w:t>
      </w:r>
      <w:r w:rsidRPr="00BF1A7D">
        <w:rPr>
          <w:highlight w:val="yellow"/>
        </w:rPr>
        <w:t xml:space="preserve"> (REH</w:t>
      </w:r>
      <w:r w:rsidR="004756FB">
        <w:rPr>
          <w:highlight w:val="yellow"/>
        </w:rPr>
        <w:t>4) et maïs</w:t>
      </w:r>
      <w:r w:rsidR="00BF1A7D" w:rsidRPr="00BF1A7D">
        <w:rPr>
          <w:highlight w:val="yellow"/>
        </w:rPr>
        <w:t xml:space="preserve"> (REH5</w:t>
      </w:r>
      <w:r w:rsidRPr="00BF1A7D">
        <w:rPr>
          <w:highlight w:val="yellow"/>
        </w:rPr>
        <w:t>), qui correspondent aux principales cultures de son assolement. Le calcul du REH exploitation se fait de la façon suivante :</w:t>
      </w:r>
    </w:p>
    <w:p w14:paraId="5EBF3E7B" w14:textId="32528475"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REH4×</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blé</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colza</m:t>
                </m:r>
              </m:sub>
            </m:sSub>
            <m:r>
              <w:rPr>
                <w:rFonts w:ascii="Cambria Math" w:hAnsi="Cambria Math"/>
                <w:sz w:val="28"/>
                <w:highlight w:val="yellow"/>
              </w:rPr>
              <m:t xml:space="preserve">+ </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orge</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maïs</m:t>
                </m:r>
              </m:sub>
            </m:sSub>
          </m:den>
        </m:f>
      </m:oMath>
    </w:p>
    <w:p w14:paraId="62E3CE68" w14:textId="77777777" w:rsidR="00BF1A7D" w:rsidRDefault="00BF1A7D" w:rsidP="00553CBB">
      <w:pPr>
        <w:jc w:val="center"/>
        <w:rPr>
          <w:rFonts w:ascii="Cambria Math" w:hAnsi="Cambria Math"/>
          <w:i/>
          <w:sz w:val="24"/>
        </w:rPr>
      </w:pPr>
    </w:p>
    <w:p w14:paraId="69CCDCD5" w14:textId="757039DE" w:rsidR="00553CBB" w:rsidRDefault="00553CBB" w:rsidP="00553CBB">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f>
              <m:fPr>
                <m:ctrlPr>
                  <w:rPr>
                    <w:rFonts w:ascii="Cambria Math" w:hAnsi="Cambria Math"/>
                    <w:i/>
                    <w:sz w:val="28"/>
                    <w:highlight w:val="yellow"/>
                  </w:rPr>
                </m:ctrlPr>
              </m:fPr>
              <m:num>
                <m:r>
                  <w:rPr>
                    <w:rFonts w:ascii="Cambria Math" w:hAnsi="Cambria Math"/>
                    <w:sz w:val="28"/>
                    <w:highlight w:val="yellow"/>
                  </w:rPr>
                  <m:t>(REH1+REH2)</m:t>
                </m:r>
              </m:num>
              <m:den>
                <m:r>
                  <w:rPr>
                    <w:rFonts w:ascii="Cambria Math" w:hAnsi="Cambria Math"/>
                    <w:sz w:val="28"/>
                    <w:highlight w:val="yellow"/>
                  </w:rPr>
                  <m:t>2</m:t>
                </m:r>
              </m:den>
            </m:f>
            <m:r>
              <w:rPr>
                <w:rFonts w:ascii="Cambria Math" w:hAnsi="Cambria Math"/>
                <w:sz w:val="28"/>
                <w:highlight w:val="yellow"/>
              </w:rPr>
              <m:t>×30+REH2×15+ REH4×20+REH5×10</m:t>
            </m:r>
          </m:num>
          <m:den>
            <m:r>
              <w:rPr>
                <w:rFonts w:ascii="Cambria Math" w:hAnsi="Cambria Math"/>
                <w:sz w:val="28"/>
                <w:highlight w:val="yellow"/>
              </w:rPr>
              <m:t>75</m:t>
            </m:r>
          </m:den>
        </m:f>
      </m:oMath>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42CBD5A6" w14:textId="07903122" w:rsidR="007B5CF3" w:rsidRPr="00BF1A7D" w:rsidRDefault="007B5CF3" w:rsidP="002E1184">
      <w:pPr>
        <w:pStyle w:val="Paragraphedeliste"/>
        <w:numPr>
          <w:ilvl w:val="0"/>
          <w:numId w:val="44"/>
        </w:numPr>
        <w:spacing w:line="240" w:lineRule="auto"/>
        <w:rPr>
          <w:highlight w:val="yellow"/>
        </w:rPr>
      </w:pPr>
      <w:r w:rsidRPr="00BF1A7D">
        <w:rPr>
          <w:highlight w:val="yellow"/>
        </w:rPr>
        <w:t>20</w:t>
      </w:r>
      <w:r w:rsidR="006B14C1" w:rsidRPr="00BF1A7D">
        <w:rPr>
          <w:highlight w:val="yellow"/>
        </w:rPr>
        <w:t xml:space="preserve"> ha de blé </w:t>
      </w:r>
      <w:r w:rsidR="002E1184">
        <w:rPr>
          <w:highlight w:val="yellow"/>
        </w:rPr>
        <w:t>–</w:t>
      </w:r>
      <w:r w:rsidRPr="00BF1A7D">
        <w:rPr>
          <w:highlight w:val="yellow"/>
        </w:rPr>
        <w:t xml:space="preserve"> </w:t>
      </w:r>
      <w:r w:rsidR="002E1184">
        <w:rPr>
          <w:highlight w:val="yellow"/>
        </w:rPr>
        <w:t xml:space="preserve">suivi d’un </w:t>
      </w:r>
      <w:r w:rsidR="006B14C1" w:rsidRPr="00BF1A7D">
        <w:rPr>
          <w:highlight w:val="yellow"/>
        </w:rPr>
        <w:t>colza</w:t>
      </w:r>
    </w:p>
    <w:p w14:paraId="15671F59" w14:textId="3AB89F92" w:rsidR="007B5CF3" w:rsidRPr="00BF1A7D" w:rsidRDefault="006B14C1" w:rsidP="002E1184">
      <w:pPr>
        <w:pStyle w:val="Paragraphedeliste"/>
        <w:numPr>
          <w:ilvl w:val="0"/>
          <w:numId w:val="44"/>
        </w:numPr>
        <w:spacing w:line="240" w:lineRule="auto"/>
        <w:rPr>
          <w:highlight w:val="yellow"/>
        </w:rPr>
      </w:pPr>
      <w:r w:rsidRPr="00BF1A7D">
        <w:rPr>
          <w:highlight w:val="yellow"/>
        </w:rPr>
        <w:t>10 ha</w:t>
      </w:r>
      <w:r w:rsidR="007B5CF3" w:rsidRPr="00BF1A7D">
        <w:rPr>
          <w:highlight w:val="yellow"/>
        </w:rPr>
        <w:t xml:space="preserve"> de blé </w:t>
      </w:r>
      <w:r w:rsidR="002E1184">
        <w:rPr>
          <w:highlight w:val="yellow"/>
        </w:rPr>
        <w:t>–</w:t>
      </w:r>
      <w:r w:rsidR="007B5CF3" w:rsidRPr="00BF1A7D">
        <w:rPr>
          <w:highlight w:val="yellow"/>
        </w:rPr>
        <w:t xml:space="preserve"> </w:t>
      </w:r>
      <w:r w:rsidR="002E1184">
        <w:rPr>
          <w:highlight w:val="yellow"/>
        </w:rPr>
        <w:t>suivi d’une</w:t>
      </w:r>
      <w:r w:rsidR="007B5CF3" w:rsidRPr="00BF1A7D">
        <w:rPr>
          <w:highlight w:val="yellow"/>
        </w:rPr>
        <w:t xml:space="preserve"> prairie temporaire</w:t>
      </w:r>
    </w:p>
    <w:p w14:paraId="71D15B01" w14:textId="40B5FCB3"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15 ha de colza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maïs</w:t>
      </w:r>
    </w:p>
    <w:p w14:paraId="3740420A" w14:textId="4EFF253B" w:rsidR="007B5CF3" w:rsidRPr="00BF1A7D" w:rsidRDefault="00553CBB" w:rsidP="002E1184">
      <w:pPr>
        <w:pStyle w:val="Paragraphedeliste"/>
        <w:numPr>
          <w:ilvl w:val="0"/>
          <w:numId w:val="44"/>
        </w:numPr>
        <w:spacing w:line="240" w:lineRule="auto"/>
        <w:rPr>
          <w:highlight w:val="yellow"/>
        </w:rPr>
      </w:pPr>
      <w:r w:rsidRPr="00BF1A7D">
        <w:rPr>
          <w:highlight w:val="yellow"/>
        </w:rPr>
        <w:t>20 ha de</w:t>
      </w:r>
      <w:r w:rsidR="007B5CF3" w:rsidRPr="00BF1A7D">
        <w:rPr>
          <w:highlight w:val="yellow"/>
        </w:rPr>
        <w:t xml:space="preserve"> prairie temporaire</w:t>
      </w:r>
    </w:p>
    <w:p w14:paraId="2D1D4C91" w14:textId="465E7DD9"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20 ha d’orge </w:t>
      </w:r>
      <w:r w:rsidR="002E1184">
        <w:rPr>
          <w:highlight w:val="yellow"/>
        </w:rPr>
        <w:t>–</w:t>
      </w:r>
      <w:r w:rsidRPr="00BF1A7D">
        <w:rPr>
          <w:highlight w:val="yellow"/>
        </w:rPr>
        <w:t xml:space="preserve"> </w:t>
      </w:r>
      <w:r w:rsidR="002E1184">
        <w:rPr>
          <w:highlight w:val="yellow"/>
        </w:rPr>
        <w:t>suivi d’un</w:t>
      </w:r>
      <w:r w:rsidRPr="00BF1A7D">
        <w:rPr>
          <w:highlight w:val="yellow"/>
        </w:rPr>
        <w:t xml:space="preserve"> blé</w:t>
      </w:r>
    </w:p>
    <w:p w14:paraId="7037D794" w14:textId="246EC545"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10 ha de maïs </w:t>
      </w:r>
      <w:r w:rsidR="002E1184">
        <w:rPr>
          <w:highlight w:val="yellow"/>
        </w:rPr>
        <w:t>–</w:t>
      </w:r>
      <w:r w:rsidRPr="00BF1A7D">
        <w:rPr>
          <w:highlight w:val="yellow"/>
        </w:rPr>
        <w:t xml:space="preserve"> </w:t>
      </w:r>
      <w:r w:rsidR="002E1184">
        <w:rPr>
          <w:highlight w:val="yellow"/>
        </w:rPr>
        <w:t xml:space="preserve">suivi d’un </w:t>
      </w:r>
      <w:r w:rsidRPr="00BF1A7D">
        <w:rPr>
          <w:highlight w:val="yellow"/>
        </w:rPr>
        <w:t>blé</w:t>
      </w:r>
    </w:p>
    <w:p w14:paraId="1575BB9D" w14:textId="3463DEF7" w:rsidR="007B5CF3" w:rsidRPr="00BF1A7D" w:rsidRDefault="007B5CF3" w:rsidP="002E1184">
      <w:pPr>
        <w:pStyle w:val="Paragraphedeliste"/>
        <w:numPr>
          <w:ilvl w:val="0"/>
          <w:numId w:val="44"/>
        </w:numPr>
        <w:spacing w:line="240" w:lineRule="auto"/>
        <w:rPr>
          <w:highlight w:val="yellow"/>
        </w:rPr>
      </w:pPr>
      <w:r w:rsidRPr="00BF1A7D">
        <w:rPr>
          <w:highlight w:val="yellow"/>
        </w:rPr>
        <w:t xml:space="preserve">5 ha de maïs – </w:t>
      </w:r>
      <w:r w:rsidR="002E1184">
        <w:rPr>
          <w:highlight w:val="yellow"/>
        </w:rPr>
        <w:t>suivi d’un</w:t>
      </w:r>
      <w:r w:rsidRPr="00BF1A7D">
        <w:rPr>
          <w:highlight w:val="yellow"/>
        </w:rPr>
        <w:t xml:space="preserve"> colza</w:t>
      </w:r>
    </w:p>
    <w:p w14:paraId="3D670440" w14:textId="64AF236E" w:rsidR="00C1192C" w:rsidRPr="00BF1A7D" w:rsidRDefault="007B5CF3" w:rsidP="00C1192C">
      <w:pPr>
        <w:rPr>
          <w:highlight w:val="yellow"/>
        </w:rPr>
      </w:pPr>
      <w:r w:rsidRPr="00BF1A7D">
        <w:rPr>
          <w:highlight w:val="yellow"/>
        </w:rPr>
        <w:t>Le bénéficiaire a réalisé 5 analyse REH</w:t>
      </w:r>
      <w:r w:rsidR="002C2FE5" w:rsidRPr="00BF1A7D">
        <w:rPr>
          <w:highlight w:val="yellow"/>
        </w:rPr>
        <w:t>, à chaque fois au sein d’</w:t>
      </w:r>
      <w:r w:rsidRPr="00BF1A7D">
        <w:rPr>
          <w:highlight w:val="yellow"/>
        </w:rPr>
        <w:t xml:space="preserve">une parcelle des </w:t>
      </w:r>
      <w:r w:rsidR="002E1184">
        <w:rPr>
          <w:highlight w:val="yellow"/>
        </w:rPr>
        <w:t>successions</w:t>
      </w:r>
      <w:r w:rsidRPr="00BF1A7D">
        <w:rPr>
          <w:highlight w:val="yellow"/>
        </w:rPr>
        <w:t xml:space="preserve"> 1. (REH1), 2. (REH2), 3. (REH3), 5. (REH5) et 6. (REH6), qui correspondent aux principales successions culturales de son assolement. Le calcul du REH exploitation se fait de la façon suivante :</w:t>
      </w:r>
    </w:p>
    <w:p w14:paraId="618CAE41" w14:textId="42089312" w:rsidR="007B5CF3" w:rsidRPr="00BF1A7D" w:rsidRDefault="002C2FE5" w:rsidP="002C2FE5">
      <w:pPr>
        <w:jc w:val="center"/>
        <w:rPr>
          <w:rFonts w:eastAsiaTheme="minorEastAsia"/>
          <w:sz w:val="28"/>
          <w:highlight w:val="yellow"/>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+REH5×</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+REH6×</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 2</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cat.6</m:t>
                </m:r>
              </m:sub>
            </m:sSub>
          </m:den>
        </m:f>
      </m:oMath>
    </w:p>
    <w:p w14:paraId="261477BC" w14:textId="623E0814" w:rsidR="000B18B7" w:rsidRPr="000B18B7" w:rsidRDefault="002C2FE5" w:rsidP="000B18B7">
      <w:pPr>
        <w:jc w:val="center"/>
        <w:rPr>
          <w:rFonts w:eastAsiaTheme="minorEastAsia"/>
          <w:sz w:val="28"/>
        </w:rPr>
      </w:pPr>
      <w:r w:rsidRPr="00BF1A7D">
        <w:rPr>
          <w:rFonts w:ascii="Cambria Math" w:hAnsi="Cambria Math"/>
          <w:i/>
          <w:sz w:val="24"/>
          <w:highlight w:val="yellow"/>
        </w:rPr>
        <w:t>REH</w:t>
      </w:r>
      <w:r w:rsidRPr="00BF1A7D">
        <w:rPr>
          <w:rFonts w:ascii="Cambria Math" w:hAnsi="Cambria Math"/>
          <w:i/>
          <w:sz w:val="24"/>
          <w:highlight w:val="yellow"/>
          <w:vertAlign w:val="subscript"/>
        </w:rPr>
        <w:t xml:space="preserve">exploitation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REH1×20+REH2×10+ REH3×15+REH5×20+REH6×10</m:t>
            </m:r>
          </m:num>
          <m:den>
            <m:r>
              <w:rPr>
                <w:rFonts w:ascii="Cambria Math" w:hAnsi="Cambria Math"/>
                <w:sz w:val="28"/>
                <w:highlight w:val="yellow"/>
              </w:rPr>
              <m:t>75</m:t>
            </m:r>
          </m:den>
        </m:f>
      </m:oMath>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l’éco</w:t>
      </w:r>
      <w:r w:rsidR="00546440" w:rsidRPr="00AA4FDE">
        <w:t>régime</w:t>
      </w:r>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l’éco</w:t>
      </w:r>
      <w:r w:rsidRPr="00AA4FDE">
        <w:t xml:space="preserve">régime. </w:t>
      </w:r>
      <w:r w:rsidR="00C635B7" w:rsidRPr="00AA4FDE">
        <w:t>Un agriculteur peut souscrire à la fois cette MAEC et bénéficier de l’écorégime.</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E32875" w:rsidRDefault="00E328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470D9594" w:rsidR="00E32875" w:rsidRDefault="00E32875">
        <w:pPr>
          <w:pStyle w:val="Pieddepage"/>
          <w:jc w:val="right"/>
        </w:pPr>
        <w:r>
          <w:fldChar w:fldCharType="begin"/>
        </w:r>
        <w:r>
          <w:instrText>PAGE   \* MERGEFORMAT</w:instrText>
        </w:r>
        <w:r>
          <w:fldChar w:fldCharType="separate"/>
        </w:r>
        <w:r w:rsidR="00525B13">
          <w:rPr>
            <w:noProof/>
          </w:rPr>
          <w:t>1</w:t>
        </w:r>
        <w:r>
          <w:fldChar w:fldCharType="end"/>
        </w:r>
      </w:p>
    </w:sdtContent>
  </w:sdt>
  <w:p w14:paraId="02189139" w14:textId="5E660CEB" w:rsidR="00E32875" w:rsidRDefault="00525B13">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E32875" w:rsidRDefault="00E328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E32875" w:rsidRPr="00544D7C" w:rsidRDefault="00E32875"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71492810" w:rsidR="00E32875" w:rsidRDefault="00E328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1E92DDC2" w:rsidR="00E32875" w:rsidRDefault="00E328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50874AB0" w:rsidR="00E32875" w:rsidRDefault="00E328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7"/>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1"/>
  </w:num>
  <w:num w:numId="21">
    <w:abstractNumId w:val="19"/>
  </w:num>
  <w:num w:numId="22">
    <w:abstractNumId w:val="0"/>
  </w:num>
  <w:num w:numId="23">
    <w:abstractNumId w:val="36"/>
  </w:num>
  <w:num w:numId="24">
    <w:abstractNumId w:val="13"/>
  </w:num>
  <w:num w:numId="25">
    <w:abstractNumId w:val="38"/>
  </w:num>
  <w:num w:numId="26">
    <w:abstractNumId w:val="40"/>
  </w:num>
  <w:num w:numId="27">
    <w:abstractNumId w:val="32"/>
  </w:num>
  <w:num w:numId="28">
    <w:abstractNumId w:val="34"/>
  </w:num>
  <w:num w:numId="29">
    <w:abstractNumId w:val="12"/>
  </w:num>
  <w:num w:numId="30">
    <w:abstractNumId w:val="39"/>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2"/>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162F"/>
    <w:rsid w:val="0011077C"/>
    <w:rsid w:val="00112192"/>
    <w:rsid w:val="001209F9"/>
    <w:rsid w:val="001259CB"/>
    <w:rsid w:val="0012654F"/>
    <w:rsid w:val="0013004F"/>
    <w:rsid w:val="00131E0B"/>
    <w:rsid w:val="00135482"/>
    <w:rsid w:val="001546DB"/>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25B13"/>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3826"/>
    <w:rsid w:val="0063481B"/>
    <w:rsid w:val="0063508B"/>
    <w:rsid w:val="00642A58"/>
    <w:rsid w:val="00652737"/>
    <w:rsid w:val="00660D41"/>
    <w:rsid w:val="00663EBC"/>
    <w:rsid w:val="006747DE"/>
    <w:rsid w:val="00674E79"/>
    <w:rsid w:val="0068296E"/>
    <w:rsid w:val="0068710A"/>
    <w:rsid w:val="006A16F3"/>
    <w:rsid w:val="006B14C1"/>
    <w:rsid w:val="006B4354"/>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61EB"/>
    <w:rsid w:val="00803D32"/>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D264C"/>
    <w:rsid w:val="009D7664"/>
    <w:rsid w:val="009E111F"/>
    <w:rsid w:val="009E3C78"/>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99D"/>
    <w:rsid w:val="00B07C62"/>
    <w:rsid w:val="00B26E45"/>
    <w:rsid w:val="00B27A09"/>
    <w:rsid w:val="00B36535"/>
    <w:rsid w:val="00B450A6"/>
    <w:rsid w:val="00B50057"/>
    <w:rsid w:val="00B5587B"/>
    <w:rsid w:val="00B66563"/>
    <w:rsid w:val="00B73BC3"/>
    <w:rsid w:val="00B7738F"/>
    <w:rsid w:val="00B8362E"/>
    <w:rsid w:val="00BA6635"/>
    <w:rsid w:val="00BA6F2B"/>
    <w:rsid w:val="00BA7991"/>
    <w:rsid w:val="00BB3838"/>
    <w:rsid w:val="00BB794A"/>
    <w:rsid w:val="00BC33AC"/>
    <w:rsid w:val="00BC3B54"/>
    <w:rsid w:val="00BC45CC"/>
    <w:rsid w:val="00BD23F4"/>
    <w:rsid w:val="00BD53CF"/>
    <w:rsid w:val="00BF1A7D"/>
    <w:rsid w:val="00C101A2"/>
    <w:rsid w:val="00C1192C"/>
    <w:rsid w:val="00C11DBB"/>
    <w:rsid w:val="00C2409A"/>
    <w:rsid w:val="00C31A15"/>
    <w:rsid w:val="00C3272E"/>
    <w:rsid w:val="00C34680"/>
    <w:rsid w:val="00C35AC4"/>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01C70"/>
    <w:rsid w:val="00D108AA"/>
    <w:rsid w:val="00D15C9A"/>
    <w:rsid w:val="00D223F1"/>
    <w:rsid w:val="00D35DD5"/>
    <w:rsid w:val="00D42F72"/>
    <w:rsid w:val="00D50D67"/>
    <w:rsid w:val="00D63C2C"/>
    <w:rsid w:val="00D660AA"/>
    <w:rsid w:val="00D74FB5"/>
    <w:rsid w:val="00D84259"/>
    <w:rsid w:val="00D851A1"/>
    <w:rsid w:val="00D87668"/>
    <w:rsid w:val="00D876DD"/>
    <w:rsid w:val="00D965E9"/>
    <w:rsid w:val="00DA0E08"/>
    <w:rsid w:val="00DA3633"/>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D3527"/>
    <w:rsid w:val="00ED48A6"/>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6BCB-5496-44E8-93AE-A16CE3EE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3450</Words>
  <Characters>18975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9</cp:revision>
  <cp:lastPrinted>2022-08-08T15:28:00Z</cp:lastPrinted>
  <dcterms:created xsi:type="dcterms:W3CDTF">2022-12-12T15:07:00Z</dcterms:created>
  <dcterms:modified xsi:type="dcterms:W3CDTF">2023-01-31T14:54:00Z</dcterms:modified>
</cp:coreProperties>
</file>