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0061F" w:rsidRPr="00AA4FDE" w:rsidRDefault="0080061F"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0061F" w:rsidRPr="00AA4FDE" w:rsidRDefault="0080061F"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80061F" w:rsidRPr="00AA4FDE" w:rsidRDefault="0080061F"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0905F92" w:rsidR="0080061F" w:rsidRPr="00AA4FDE" w:rsidRDefault="0080061F"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Pr>
                                <w:b/>
                                <w:color w:val="000000" w:themeColor="text1"/>
                                <w:sz w:val="32"/>
                              </w:rPr>
                              <w:t>FER5</w:t>
                            </w:r>
                          </w:p>
                          <w:p w14:paraId="0163CA01" w14:textId="56BD1B2B" w:rsidR="0080061F" w:rsidRPr="00AA4FDE" w:rsidRDefault="0080061F"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0311BFA" w:rsidR="0080061F" w:rsidRPr="00AA4FDE" w:rsidRDefault="0080061F"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80061F" w:rsidRPr="00AA4FDE" w:rsidRDefault="0080061F"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10905F92" w:rsidR="0080061F" w:rsidRPr="00AA4FDE" w:rsidRDefault="0080061F"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 couverture des sols et r</w:t>
                      </w:r>
                      <w:r w:rsidRPr="00AA4FDE">
                        <w:rPr>
                          <w:b/>
                          <w:color w:val="000000" w:themeColor="text1"/>
                          <w:sz w:val="32"/>
                        </w:rPr>
                        <w:t xml:space="preserve">éduction des herbicides en grandes cultures » - Niveau </w:t>
                      </w:r>
                      <w:r>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Pr>
                          <w:b/>
                          <w:color w:val="000000" w:themeColor="text1"/>
                          <w:sz w:val="32"/>
                        </w:rPr>
                        <w:t>FER5</w:t>
                      </w:r>
                    </w:p>
                    <w:p w14:paraId="0163CA01" w14:textId="56BD1B2B" w:rsidR="0080061F" w:rsidRPr="00AA4FDE" w:rsidRDefault="0080061F"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50311BFA" w:rsidR="0080061F" w:rsidRPr="00AA4FDE" w:rsidRDefault="0080061F" w:rsidP="0013004F">
                      <w:pPr>
                        <w:jc w:val="center"/>
                        <w:rPr>
                          <w:b/>
                          <w:color w:val="000000" w:themeColor="text1"/>
                          <w:sz w:val="32"/>
                        </w:rPr>
                      </w:pPr>
                      <w:r w:rsidRPr="00AA4FDE">
                        <w:rPr>
                          <w:b/>
                          <w:color w:val="000000" w:themeColor="text1"/>
                          <w:sz w:val="32"/>
                        </w:rPr>
                        <w:t xml:space="preserve">Campagne </w:t>
                      </w:r>
                      <w:r>
                        <w:rPr>
                          <w:b/>
                          <w:color w:val="000000" w:themeColor="text1"/>
                          <w:sz w:val="32"/>
                        </w:rPr>
                        <w:t>2023</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22C7A6F6"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l’utilisation des herbicides et les flux de nitrates vers les masses d’eau</w:t>
      </w:r>
      <w:r w:rsidRPr="00AA4FDE">
        <w:rPr>
          <w:rFonts w:eastAsia="Times New Roman"/>
          <w:szCs w:val="20"/>
        </w:rPr>
        <w:t>. L’objectif est d’inciter les exploitants à mettre en œuvre des pratiques agricoles ayant un effet bénéfique sur la qualité de l’eau (réduction de l’utilisati</w:t>
      </w:r>
      <w:r w:rsidR="00361F1F">
        <w:rPr>
          <w:rFonts w:eastAsia="Times New Roman"/>
          <w:szCs w:val="20"/>
        </w:rPr>
        <w:t>on des produits phytosanitaires, 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0ED66DE7"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361F1F">
        <w:rPr>
          <w:b/>
        </w:rPr>
        <w:t xml:space="preserve">une aide de </w:t>
      </w:r>
      <w:r w:rsidR="009C2134">
        <w:rPr>
          <w:b/>
        </w:rPr>
        <w:t>343</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lastRenderedPageBreak/>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lastRenderedPageBreak/>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75ED50B7"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2025</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76125F97" w:rsidR="003619CF"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431C3D3D" w14:textId="2DAD9BB0" w:rsidR="00914ACC" w:rsidRPr="0068296E" w:rsidRDefault="00914ACC" w:rsidP="00914ACC">
            <w:pPr>
              <w:pStyle w:val="Paragraphedeliste"/>
              <w:numPr>
                <w:ilvl w:val="0"/>
                <w:numId w:val="8"/>
              </w:numPr>
              <w:rPr>
                <w:sz w:val="18"/>
                <w:szCs w:val="20"/>
              </w:rPr>
            </w:pPr>
            <w:r>
              <w:rPr>
                <w:sz w:val="18"/>
                <w:szCs w:val="20"/>
              </w:rPr>
              <w:t xml:space="preserve">Les interventions effectuées sur les surfaces (semis, récolte, travail du sol) : </w:t>
            </w:r>
            <w:r w:rsidRPr="0068296E">
              <w:rPr>
                <w:sz w:val="18"/>
              </w:rPr>
              <w:t>date d’intervention, type d’intervention</w:t>
            </w:r>
            <w:r>
              <w:rPr>
                <w:sz w:val="18"/>
              </w:rPr>
              <w:t>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52AA79B6" w14:textId="1C4F45CD" w:rsidR="00DB49DD" w:rsidRPr="00AA4FDE" w:rsidRDefault="00DB49DD" w:rsidP="00EA29A5">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tc>
        <w:tc>
          <w:tcPr>
            <w:tcW w:w="1405" w:type="dxa"/>
            <w:vAlign w:val="center"/>
          </w:tcPr>
          <w:p w14:paraId="0F638A9A" w14:textId="25AFC9E7"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42204DB3" w14:textId="77777777" w:rsidR="009E21F1" w:rsidRPr="00AA4FDE" w:rsidRDefault="009E21F1" w:rsidP="009E21F1">
            <w:pPr>
              <w:rPr>
                <w:rFonts w:cs="Calibri"/>
                <w:sz w:val="18"/>
              </w:rPr>
            </w:pPr>
            <w:r w:rsidRPr="00AA4FDE">
              <w:rPr>
                <w:rFonts w:cs="Calibri"/>
                <w:sz w:val="18"/>
              </w:rPr>
              <w:lastRenderedPageBreak/>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C51B646" w14:textId="77777777" w:rsidR="009E21F1" w:rsidRPr="00AA4FDE" w:rsidRDefault="009E21F1" w:rsidP="009E21F1">
            <w:pPr>
              <w:rPr>
                <w:rFonts w:cs="Calibri"/>
                <w:sz w:val="18"/>
              </w:rPr>
            </w:pPr>
          </w:p>
          <w:p w14:paraId="71546B44" w14:textId="15CA8B00" w:rsidR="00DB49DD" w:rsidRPr="00AA4FDE" w:rsidRDefault="009E21F1" w:rsidP="009E21F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405" w:type="dxa"/>
            <w:vAlign w:val="center"/>
          </w:tcPr>
          <w:p w14:paraId="4FDD7854" w14:textId="42CBB09A"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6E1F7BA1" w14:textId="77777777" w:rsidR="009E21F1" w:rsidRPr="00AA4FDE" w:rsidRDefault="009E21F1" w:rsidP="009E21F1">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48D6D011" w14:textId="77777777" w:rsidR="009E21F1" w:rsidRPr="00AA4FDE" w:rsidRDefault="009E21F1" w:rsidP="009E21F1">
            <w:pPr>
              <w:rPr>
                <w:rFonts w:cs="Calibri"/>
                <w:sz w:val="18"/>
              </w:rPr>
            </w:pPr>
          </w:p>
          <w:p w14:paraId="55D3CC71" w14:textId="73F8EA53" w:rsidR="00DB49DD" w:rsidRPr="00AA4FDE" w:rsidRDefault="009E21F1" w:rsidP="009E21F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405" w:type="dxa"/>
            <w:vAlign w:val="center"/>
          </w:tcPr>
          <w:p w14:paraId="76C9EFDE" w14:textId="0A9BE4E1" w:rsidR="00DB49DD" w:rsidRPr="00AA4FDE" w:rsidRDefault="00D74FB5" w:rsidP="00D74FB5">
            <w:pPr>
              <w:jc w:val="center"/>
              <w:rPr>
                <w:b/>
                <w:sz w:val="18"/>
                <w:szCs w:val="20"/>
              </w:rPr>
            </w:pPr>
            <w:r w:rsidRPr="00AA4FDE">
              <w:rPr>
                <w:b/>
                <w:sz w:val="18"/>
                <w:szCs w:val="20"/>
              </w:rPr>
              <w:t>A partir du 15 mai 2026</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70F2960B" w14:textId="25591D6A" w:rsidR="00DB49DD" w:rsidRPr="00AA4FDE" w:rsidRDefault="00DB49DD" w:rsidP="008F1C69">
            <w:pPr>
              <w:rPr>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335B0C0D" w14:textId="77777777" w:rsidTr="00076ADF">
        <w:trPr>
          <w:trHeight w:val="157"/>
        </w:trPr>
        <w:tc>
          <w:tcPr>
            <w:tcW w:w="6533" w:type="dxa"/>
            <w:vAlign w:val="center"/>
          </w:tcPr>
          <w:p w14:paraId="156BF614" w14:textId="11794440" w:rsidR="00361F1F" w:rsidRDefault="00361F1F" w:rsidP="008F1C69">
            <w:pPr>
              <w:rPr>
                <w:rFonts w:cs="Calibri"/>
                <w:sz w:val="18"/>
              </w:rPr>
            </w:pPr>
            <w:r>
              <w:rPr>
                <w:rFonts w:cs="Calibri"/>
                <w:sz w:val="18"/>
              </w:rPr>
              <w:t xml:space="preserve">Sur </w:t>
            </w:r>
            <w:r w:rsidR="00E40CBE">
              <w:rPr>
                <w:rFonts w:cs="Calibri"/>
                <w:sz w:val="18"/>
              </w:rPr>
              <w:t xml:space="preserve">au moins </w:t>
            </w:r>
            <w:r>
              <w:rPr>
                <w:rFonts w:cs="Calibri"/>
                <w:sz w:val="18"/>
              </w:rPr>
              <w:t>90% des terres arables</w:t>
            </w:r>
            <w:r w:rsidR="00E40CBE">
              <w:rPr>
                <w:rFonts w:cs="Calibri"/>
                <w:sz w:val="18"/>
              </w:rPr>
              <w:t xml:space="preserve"> de l’exploitation :</w:t>
            </w:r>
            <w:r>
              <w:rPr>
                <w:rFonts w:cs="Calibri"/>
                <w:sz w:val="18"/>
              </w:rPr>
              <w:t xml:space="preserve"> avoir chaque année une couverture du sol de minimum 10 mois sur 12 en interculture longue et de minimum 11 mois sur 12 en interculture courte.</w:t>
            </w:r>
            <w:r w:rsidR="003C0C92">
              <w:rPr>
                <w:rFonts w:cs="Calibri"/>
                <w:sz w:val="18"/>
              </w:rPr>
              <w:t xml:space="preserve"> </w:t>
            </w:r>
          </w:p>
          <w:p w14:paraId="4D62C25E" w14:textId="77777777" w:rsidR="00E20E8F" w:rsidRDefault="00E20E8F" w:rsidP="008F1C69">
            <w:pPr>
              <w:rPr>
                <w:rFonts w:cs="Calibri"/>
                <w:sz w:val="18"/>
              </w:rPr>
            </w:pPr>
          </w:p>
          <w:p w14:paraId="199EC5C9" w14:textId="44C19DD3" w:rsidR="00E20E8F" w:rsidRPr="00AA4FDE" w:rsidRDefault="00E20E8F" w:rsidP="008F1C69">
            <w:pPr>
              <w:rPr>
                <w:rFonts w:cs="Calibri"/>
                <w:sz w:val="18"/>
              </w:rPr>
            </w:pPr>
            <w:r>
              <w:rPr>
                <w:rFonts w:cs="Calibri"/>
                <w:sz w:val="18"/>
              </w:rPr>
              <w:t>Seuls les couverts semés et les repousses de colza denses et homogènes sont pris en compte dans le cadre de cette obl</w:t>
            </w:r>
            <w:r w:rsidR="00EA29A5">
              <w:rPr>
                <w:rFonts w:cs="Calibri"/>
                <w:sz w:val="18"/>
              </w:rPr>
              <w:t>igation. Se référer au point 7.4</w:t>
            </w:r>
            <w:r>
              <w:rPr>
                <w:rFonts w:cs="Calibri"/>
                <w:sz w:val="18"/>
              </w:rPr>
              <w:t>.</w:t>
            </w:r>
          </w:p>
        </w:tc>
        <w:tc>
          <w:tcPr>
            <w:tcW w:w="1405" w:type="dxa"/>
            <w:vAlign w:val="center"/>
          </w:tcPr>
          <w:p w14:paraId="7B167DB8" w14:textId="2162C9E8" w:rsidR="00361F1F" w:rsidRPr="00AA4FDE" w:rsidRDefault="00361F1F" w:rsidP="00361F1F">
            <w:pPr>
              <w:jc w:val="center"/>
              <w:rPr>
                <w:b/>
                <w:sz w:val="18"/>
                <w:szCs w:val="20"/>
              </w:rPr>
            </w:pPr>
            <w:r w:rsidRPr="00AA4FDE">
              <w:rPr>
                <w:b/>
                <w:sz w:val="18"/>
                <w:szCs w:val="20"/>
              </w:rPr>
              <w:t>Sur toute la durée du contrat</w:t>
            </w:r>
          </w:p>
        </w:tc>
        <w:tc>
          <w:tcPr>
            <w:tcW w:w="3432" w:type="dxa"/>
            <w:vAlign w:val="center"/>
          </w:tcPr>
          <w:p w14:paraId="07E190CB" w14:textId="77777777" w:rsidR="00361F1F" w:rsidRPr="00AA4FDE" w:rsidRDefault="00361F1F" w:rsidP="00361F1F">
            <w:pPr>
              <w:jc w:val="center"/>
              <w:rPr>
                <w:sz w:val="18"/>
                <w:szCs w:val="20"/>
              </w:rPr>
            </w:pPr>
            <w:r w:rsidRPr="00AA4FDE">
              <w:rPr>
                <w:b/>
                <w:sz w:val="18"/>
                <w:szCs w:val="20"/>
              </w:rPr>
              <w:t>Contrôle sur place </w:t>
            </w:r>
          </w:p>
          <w:p w14:paraId="28E1E38C" w14:textId="737C616F" w:rsidR="00361F1F" w:rsidRPr="00AA4FDE" w:rsidRDefault="00361F1F" w:rsidP="00361F1F">
            <w:pPr>
              <w:jc w:val="center"/>
              <w:rPr>
                <w:b/>
                <w:sz w:val="18"/>
                <w:szCs w:val="20"/>
              </w:rPr>
            </w:pPr>
            <w:r w:rsidRPr="00AA4FDE">
              <w:rPr>
                <w:sz w:val="18"/>
                <w:szCs w:val="20"/>
              </w:rPr>
              <w:t>Vérification du cahier d’enregistrement des pratiques et contrôle visuel</w:t>
            </w:r>
          </w:p>
        </w:tc>
        <w:tc>
          <w:tcPr>
            <w:tcW w:w="3798" w:type="dxa"/>
            <w:vAlign w:val="center"/>
          </w:tcPr>
          <w:p w14:paraId="7CE33451" w14:textId="632D7F65" w:rsidR="00361F1F" w:rsidRPr="00AA4FDE" w:rsidRDefault="00361F1F" w:rsidP="00F23AFC">
            <w:pPr>
              <w:jc w:val="center"/>
              <w:rPr>
                <w:sz w:val="18"/>
                <w:szCs w:val="20"/>
              </w:rPr>
            </w:pPr>
            <w:r w:rsidRPr="00AA4FDE">
              <w:rPr>
                <w:sz w:val="18"/>
                <w:szCs w:val="20"/>
              </w:rPr>
              <w:t xml:space="preserve">Anomalie réversible, dossier, </w:t>
            </w:r>
            <w:r w:rsidR="003C0C92">
              <w:rPr>
                <w:sz w:val="18"/>
                <w:szCs w:val="20"/>
              </w:rPr>
              <w:t>à seuils</w:t>
            </w:r>
            <w:r w:rsidR="002E5560">
              <w:rPr>
                <w:sz w:val="18"/>
                <w:szCs w:val="20"/>
              </w:rPr>
              <w:t xml:space="preserve"> (par tranche de 15%)</w:t>
            </w:r>
            <w:r w:rsidR="003C0C92">
              <w:rPr>
                <w:sz w:val="18"/>
                <w:szCs w:val="20"/>
              </w:rPr>
              <w:t>, d’importance égale à 0,5</w:t>
            </w:r>
          </w:p>
        </w:tc>
      </w:tr>
      <w:tr w:rsidR="00361F1F" w:rsidRPr="00AA4FDE" w14:paraId="4B7193BD" w14:textId="77777777" w:rsidTr="00076ADF">
        <w:trPr>
          <w:trHeight w:val="157"/>
        </w:trPr>
        <w:tc>
          <w:tcPr>
            <w:tcW w:w="6533" w:type="dxa"/>
            <w:vAlign w:val="center"/>
          </w:tcPr>
          <w:p w14:paraId="24987B74" w14:textId="5E6F7669" w:rsidR="00361F1F" w:rsidRPr="00AA4FDE"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382326D" w:rsidR="00361F1F" w:rsidRPr="00AA4FDE" w:rsidRDefault="002E5560" w:rsidP="00EA29A5">
            <w:pPr>
              <w:rPr>
                <w:rFonts w:cs="Calibri"/>
                <w:sz w:val="18"/>
              </w:rPr>
            </w:pPr>
            <w:r>
              <w:rPr>
                <w:rFonts w:cs="Calibri"/>
                <w:sz w:val="18"/>
              </w:rPr>
              <w:t>Réaliser un bilan azoté prévisionnel chaque année. Se référer au point 7.</w:t>
            </w:r>
            <w:r w:rsidR="00EA29A5">
              <w:rPr>
                <w:rFonts w:cs="Calibri"/>
                <w:sz w:val="18"/>
              </w:rPr>
              <w:t>5</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322B0296" w:rsidR="00361F1F" w:rsidRPr="00AA4FDE" w:rsidRDefault="001A7B8C" w:rsidP="008F1C69">
            <w:pPr>
              <w:rPr>
                <w:rFonts w:cs="Calibri"/>
                <w:sz w:val="18"/>
              </w:rPr>
            </w:pPr>
            <w:r>
              <w:rPr>
                <w:rFonts w:cs="Calibri"/>
                <w:sz w:val="18"/>
              </w:rPr>
              <w:t>A partir de la deuxième année d’engagement (campagne culturale 2023/2024), ne pas dépasser la pression en azote minéral maximale de l’année, en moyenne à l’échelle de l’explo</w:t>
            </w:r>
            <w:r w:rsidR="00EA29A5">
              <w:rPr>
                <w:rFonts w:cs="Calibri"/>
                <w:sz w:val="18"/>
              </w:rPr>
              <w:t>itation. Se référer au point 7.6</w:t>
            </w:r>
            <w:r>
              <w:rPr>
                <w:rFonts w:cs="Calibri"/>
                <w:sz w:val="18"/>
              </w:rPr>
              <w:t>.</w:t>
            </w:r>
          </w:p>
        </w:tc>
        <w:tc>
          <w:tcPr>
            <w:tcW w:w="1405" w:type="dxa"/>
            <w:vAlign w:val="center"/>
          </w:tcPr>
          <w:p w14:paraId="6963D1D0" w14:textId="346A1E1C" w:rsidR="00361F1F" w:rsidRPr="00AA4FDE" w:rsidRDefault="001A7B8C" w:rsidP="00361F1F">
            <w:pPr>
              <w:jc w:val="center"/>
              <w:rPr>
                <w:b/>
                <w:sz w:val="18"/>
                <w:szCs w:val="20"/>
              </w:rPr>
            </w:pPr>
            <w:r>
              <w:rPr>
                <w:b/>
                <w:sz w:val="18"/>
                <w:szCs w:val="20"/>
              </w:rPr>
              <w:t>A partir de la campagne culturale 2023/2024</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361F1F" w:rsidRPr="00AA4FDE" w14:paraId="7692A49B" w14:textId="77777777" w:rsidTr="00076ADF">
        <w:trPr>
          <w:trHeight w:val="157"/>
        </w:trPr>
        <w:tc>
          <w:tcPr>
            <w:tcW w:w="6533" w:type="dxa"/>
            <w:vAlign w:val="center"/>
          </w:tcPr>
          <w:p w14:paraId="26C0DE4E" w14:textId="6F639B1B" w:rsidR="00361F1F" w:rsidRPr="00AA4FDE" w:rsidRDefault="001A7B8C" w:rsidP="0001326B">
            <w:pPr>
              <w:rPr>
                <w:rFonts w:cs="Calibri"/>
                <w:sz w:val="18"/>
              </w:rPr>
            </w:pPr>
            <w:r>
              <w:rPr>
                <w:rFonts w:cs="Calibri"/>
                <w:sz w:val="18"/>
              </w:rPr>
              <w:lastRenderedPageBreak/>
              <w:t>R</w:t>
            </w:r>
            <w:r w:rsidR="00F76811">
              <w:rPr>
                <w:rFonts w:cs="Calibri"/>
                <w:sz w:val="18"/>
              </w:rPr>
              <w:t>especter chaque année le</w:t>
            </w:r>
            <w:r>
              <w:rPr>
                <w:rFonts w:cs="Calibri"/>
                <w:sz w:val="18"/>
              </w:rPr>
              <w:t xml:space="preserve"> ratio minimum de surface amendée en matière organique </w:t>
            </w:r>
            <w:r w:rsidR="00CC73B1">
              <w:rPr>
                <w:rFonts w:cs="Calibri"/>
                <w:sz w:val="18"/>
              </w:rPr>
              <w:t xml:space="preserve">(SAMO) </w:t>
            </w:r>
            <w:r>
              <w:rPr>
                <w:rFonts w:cs="Calibri"/>
                <w:sz w:val="18"/>
              </w:rPr>
              <w:t>sur la surface potentiellement épandable</w:t>
            </w:r>
            <w:r w:rsidR="00F76811">
              <w:rPr>
                <w:rFonts w:cs="Calibri"/>
                <w:sz w:val="18"/>
              </w:rPr>
              <w:t xml:space="preserve"> </w:t>
            </w:r>
            <w:r w:rsidR="00CC73B1">
              <w:rPr>
                <w:rFonts w:cs="Calibri"/>
                <w:sz w:val="18"/>
              </w:rPr>
              <w:t xml:space="preserve">(SPE) </w:t>
            </w:r>
            <w:r w:rsidR="00E40CBE">
              <w:rPr>
                <w:rFonts w:cs="Calibri"/>
                <w:sz w:val="18"/>
              </w:rPr>
              <w:t xml:space="preserve">de l’exploitation </w:t>
            </w:r>
            <w:r w:rsidR="00F76811">
              <w:rPr>
                <w:rFonts w:cs="Calibri"/>
                <w:sz w:val="18"/>
              </w:rPr>
              <w:t>indiqué au point 7.</w:t>
            </w:r>
            <w:r w:rsidR="00EA29A5">
              <w:rPr>
                <w:rFonts w:cs="Calibri"/>
                <w:sz w:val="18"/>
              </w:rPr>
              <w:t>7</w:t>
            </w:r>
            <w:r w:rsidR="00F76811">
              <w:rPr>
                <w:rFonts w:cs="Calibri"/>
                <w:sz w:val="18"/>
              </w:rPr>
              <w:t>.</w:t>
            </w:r>
          </w:p>
        </w:tc>
        <w:tc>
          <w:tcPr>
            <w:tcW w:w="1405" w:type="dxa"/>
            <w:vAlign w:val="center"/>
          </w:tcPr>
          <w:p w14:paraId="501D1892" w14:textId="1BA71D39" w:rsidR="00361F1F" w:rsidRPr="00AA4FDE" w:rsidRDefault="00F76811" w:rsidP="00361F1F">
            <w:pPr>
              <w:jc w:val="center"/>
              <w:rPr>
                <w:b/>
                <w:sz w:val="18"/>
                <w:szCs w:val="20"/>
              </w:rPr>
            </w:pPr>
            <w:r w:rsidRPr="00D75547">
              <w:rPr>
                <w:b/>
                <w:sz w:val="18"/>
                <w:szCs w:val="20"/>
              </w:rPr>
              <w:t>Sur toute la durée du contrat</w:t>
            </w:r>
          </w:p>
        </w:tc>
        <w:tc>
          <w:tcPr>
            <w:tcW w:w="3432" w:type="dxa"/>
            <w:vAlign w:val="center"/>
          </w:tcPr>
          <w:p w14:paraId="75BD1767" w14:textId="77777777" w:rsidR="006152D1" w:rsidRPr="00AA4FDE" w:rsidRDefault="006152D1" w:rsidP="006152D1">
            <w:pPr>
              <w:jc w:val="center"/>
              <w:rPr>
                <w:sz w:val="18"/>
                <w:szCs w:val="20"/>
              </w:rPr>
            </w:pPr>
            <w:r w:rsidRPr="00AA4FDE">
              <w:rPr>
                <w:b/>
                <w:sz w:val="18"/>
                <w:szCs w:val="20"/>
              </w:rPr>
              <w:t>Contrôle sur place </w:t>
            </w:r>
          </w:p>
          <w:p w14:paraId="074488C3" w14:textId="7237C479" w:rsidR="00361F1F" w:rsidRPr="00AA4FDE" w:rsidRDefault="006152D1" w:rsidP="006152D1">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B3F4DA5" w14:textId="29E9DFDB" w:rsidR="00361F1F" w:rsidRPr="00AA4FDE" w:rsidRDefault="006152D1" w:rsidP="00361F1F">
            <w:pPr>
              <w:jc w:val="center"/>
              <w:rPr>
                <w:sz w:val="18"/>
                <w:szCs w:val="20"/>
              </w:rPr>
            </w:pPr>
            <w:r w:rsidRPr="00AA4FDE">
              <w:rPr>
                <w:sz w:val="18"/>
                <w:szCs w:val="20"/>
              </w:rPr>
              <w:t xml:space="preserve">Anomalie réversible, dossier, </w:t>
            </w:r>
            <w:r>
              <w:rPr>
                <w:sz w:val="18"/>
                <w:szCs w:val="20"/>
              </w:rPr>
              <w:t>à seuils (par tranche d</w:t>
            </w:r>
            <w:r w:rsidR="002A485D">
              <w:rPr>
                <w:sz w:val="18"/>
                <w:szCs w:val="20"/>
              </w:rPr>
              <w:t>e 15%), d’importance égale à 0,3</w:t>
            </w:r>
          </w:p>
        </w:tc>
      </w:tr>
      <w:tr w:rsidR="00F76811" w:rsidRPr="00AA4FDE" w14:paraId="7FD20FB5" w14:textId="77777777" w:rsidTr="00076ADF">
        <w:trPr>
          <w:trHeight w:val="157"/>
        </w:trPr>
        <w:tc>
          <w:tcPr>
            <w:tcW w:w="6533" w:type="dxa"/>
            <w:vAlign w:val="center"/>
          </w:tcPr>
          <w:p w14:paraId="31984431" w14:textId="0A915E9A"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en céréales et oléoprotéagineux (COP) ou cultures légumières</w:t>
            </w:r>
            <w:r w:rsidR="00D223F1">
              <w:rPr>
                <w:rFonts w:cs="Calibri"/>
                <w:sz w:val="18"/>
              </w:rPr>
              <w:t xml:space="preserve">, selon les indications données au </w:t>
            </w:r>
            <w:r w:rsidR="00C1192C">
              <w:rPr>
                <w:rFonts w:cs="Calibri"/>
                <w:sz w:val="18"/>
              </w:rPr>
              <w:t>point 7.</w:t>
            </w:r>
            <w:r w:rsidR="00EA29A5">
              <w:rPr>
                <w:rFonts w:cs="Calibri"/>
                <w:sz w:val="18"/>
              </w:rPr>
              <w:t>8</w:t>
            </w:r>
            <w:r>
              <w:rPr>
                <w:rFonts w:cs="Calibri"/>
                <w:sz w:val="18"/>
              </w:rPr>
              <w:t> : reliquat entrée hiver (REH) et reliquat sortie hiver (RSH)</w:t>
            </w: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7FC86E18" w14:textId="77777777" w:rsidTr="00076ADF">
        <w:trPr>
          <w:trHeight w:val="157"/>
        </w:trPr>
        <w:tc>
          <w:tcPr>
            <w:tcW w:w="6533" w:type="dxa"/>
            <w:vAlign w:val="center"/>
          </w:tcPr>
          <w:p w14:paraId="3579AC0A" w14:textId="6077CF6C" w:rsidR="00F76811" w:rsidRDefault="00F76811" w:rsidP="00872D43">
            <w:pPr>
              <w:rPr>
                <w:rFonts w:cs="Calibri"/>
                <w:sz w:val="18"/>
              </w:rPr>
            </w:pPr>
            <w:r>
              <w:rPr>
                <w:rFonts w:cs="Calibri"/>
                <w:sz w:val="18"/>
              </w:rPr>
              <w:t>Réaliser chaque année 2 analyses de sol de l’</w:t>
            </w:r>
            <w:r w:rsidR="00872D43">
              <w:rPr>
                <w:rFonts w:cs="Calibri"/>
                <w:sz w:val="18"/>
              </w:rPr>
              <w:t>a</w:t>
            </w:r>
            <w:r>
              <w:rPr>
                <w:rFonts w:cs="Calibri"/>
                <w:sz w:val="18"/>
              </w:rPr>
              <w:t xml:space="preserve">zote </w:t>
            </w:r>
            <w:r w:rsidR="00872D43">
              <w:rPr>
                <w:rFonts w:cs="Calibri"/>
                <w:sz w:val="18"/>
              </w:rPr>
              <w:t>p</w:t>
            </w:r>
            <w:r>
              <w:rPr>
                <w:rFonts w:cs="Calibri"/>
                <w:sz w:val="18"/>
              </w:rPr>
              <w:t xml:space="preserve">otentiellement </w:t>
            </w:r>
            <w:r w:rsidR="00872D43">
              <w:rPr>
                <w:rFonts w:cs="Calibri"/>
                <w:sz w:val="18"/>
              </w:rPr>
              <w:t>m</w:t>
            </w:r>
            <w:r>
              <w:rPr>
                <w:rFonts w:cs="Calibri"/>
                <w:sz w:val="18"/>
              </w:rPr>
              <w:t>inéralisable (APM) et 1 analyse effluent par type d’effluent</w:t>
            </w:r>
            <w:r w:rsidR="00E40CBE">
              <w:rPr>
                <w:rFonts w:cs="Calibri"/>
                <w:sz w:val="18"/>
              </w:rPr>
              <w:t>.</w:t>
            </w:r>
            <w:r w:rsidR="00EA29A5">
              <w:rPr>
                <w:rFonts w:cs="Calibri"/>
                <w:sz w:val="18"/>
              </w:rPr>
              <w:t xml:space="preserve"> Se référer au point 7.9</w:t>
            </w:r>
            <w:r w:rsidR="000B18B7">
              <w:rPr>
                <w:rFonts w:cs="Calibri"/>
                <w:sz w:val="18"/>
              </w:rPr>
              <w:t>.</w:t>
            </w:r>
          </w:p>
        </w:tc>
        <w:tc>
          <w:tcPr>
            <w:tcW w:w="1405" w:type="dxa"/>
            <w:vAlign w:val="center"/>
          </w:tcPr>
          <w:p w14:paraId="17C9C36B" w14:textId="35E214C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654740D7" w14:textId="77777777" w:rsidR="002A485D" w:rsidRPr="00AA4FDE" w:rsidRDefault="002A485D" w:rsidP="002A485D">
            <w:pPr>
              <w:jc w:val="center"/>
              <w:rPr>
                <w:sz w:val="18"/>
                <w:szCs w:val="20"/>
              </w:rPr>
            </w:pPr>
            <w:r w:rsidRPr="00AA4FDE">
              <w:rPr>
                <w:b/>
                <w:sz w:val="18"/>
                <w:szCs w:val="20"/>
              </w:rPr>
              <w:t>Contrôle sur place </w:t>
            </w:r>
          </w:p>
          <w:p w14:paraId="325A93CC" w14:textId="2CCC7670" w:rsidR="00F76811" w:rsidRPr="00AA4FDE" w:rsidRDefault="002A485D" w:rsidP="002A485D">
            <w:pPr>
              <w:jc w:val="center"/>
              <w:rPr>
                <w:b/>
                <w:sz w:val="18"/>
                <w:szCs w:val="20"/>
              </w:rPr>
            </w:pPr>
            <w:r w:rsidRPr="002A485D">
              <w:rPr>
                <w:sz w:val="18"/>
                <w:szCs w:val="20"/>
              </w:rPr>
              <w:t>V</w:t>
            </w:r>
            <w:r>
              <w:rPr>
                <w:sz w:val="18"/>
                <w:szCs w:val="20"/>
              </w:rPr>
              <w:t>érification des analyses de sol et effluents</w:t>
            </w:r>
          </w:p>
        </w:tc>
        <w:tc>
          <w:tcPr>
            <w:tcW w:w="3798" w:type="dxa"/>
            <w:vAlign w:val="center"/>
          </w:tcPr>
          <w:p w14:paraId="57E4CE3A" w14:textId="1F43510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655C9BA0" w14:textId="47191C29"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tc>
        <w:tc>
          <w:tcPr>
            <w:tcW w:w="1405" w:type="dxa"/>
            <w:vAlign w:val="center"/>
          </w:tcPr>
          <w:p w14:paraId="2CCB3B64" w14:textId="191070DF" w:rsidR="00F76811" w:rsidRPr="00D75547" w:rsidRDefault="002A485D" w:rsidP="00361F1F">
            <w:pPr>
              <w:jc w:val="center"/>
              <w:rPr>
                <w:b/>
                <w:sz w:val="18"/>
                <w:szCs w:val="20"/>
              </w:rPr>
            </w:pPr>
            <w:r w:rsidRPr="00AA4FDE">
              <w:rPr>
                <w:b/>
                <w:sz w:val="18"/>
                <w:szCs w:val="20"/>
              </w:rPr>
              <w:t>A partir du 15 mai 2024</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32029BCE" w:rsidR="00F76811" w:rsidRDefault="00063E80" w:rsidP="0068710A">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(kgN</w:t>
            </w:r>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EA29A5">
              <w:rPr>
                <w:rFonts w:cs="Calibri"/>
                <w:sz w:val="18"/>
              </w:rPr>
              <w:t xml:space="preserve"> au point 7.8</w:t>
            </w:r>
            <w:r w:rsidR="000D7FDA">
              <w:rPr>
                <w:rFonts w:cs="Calibri"/>
                <w:sz w:val="18"/>
              </w:rPr>
              <w:t>.</w:t>
            </w:r>
          </w:p>
        </w:tc>
        <w:tc>
          <w:tcPr>
            <w:tcW w:w="1405" w:type="dxa"/>
            <w:vAlign w:val="center"/>
          </w:tcPr>
          <w:p w14:paraId="34F93889" w14:textId="1C8705C5" w:rsidR="00F76811" w:rsidRPr="00D75547" w:rsidRDefault="002A485D" w:rsidP="00361F1F">
            <w:pPr>
              <w:jc w:val="center"/>
              <w:rPr>
                <w:b/>
                <w:sz w:val="18"/>
                <w:szCs w:val="20"/>
              </w:rPr>
            </w:pPr>
            <w:r w:rsidRPr="00AA4FDE">
              <w:rPr>
                <w:b/>
                <w:sz w:val="18"/>
                <w:szCs w:val="20"/>
              </w:rPr>
              <w:t>A partir du 15 mai 2024</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r w:rsidR="006E1E9D" w:rsidRPr="00AA4FDE" w14:paraId="0E236EE9" w14:textId="77777777" w:rsidTr="00076ADF">
        <w:trPr>
          <w:trHeight w:val="157"/>
        </w:trPr>
        <w:tc>
          <w:tcPr>
            <w:tcW w:w="6533" w:type="dxa"/>
            <w:vAlign w:val="center"/>
          </w:tcPr>
          <w:p w14:paraId="1C62D70F" w14:textId="61E3C8A3" w:rsidR="006E1E9D" w:rsidRDefault="006E1E9D" w:rsidP="006E1E9D">
            <w:pPr>
              <w:rPr>
                <w:rFonts w:cs="Calibri"/>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Pr>
                <w:rFonts w:cs="Calibri"/>
                <w:sz w:val="18"/>
              </w:rPr>
              <w:t>11</w:t>
            </w:r>
            <w:r w:rsidRPr="007C732F">
              <w:rPr>
                <w:rFonts w:cs="Calibri"/>
                <w:sz w:val="18"/>
              </w:rPr>
              <w:t>.</w:t>
            </w:r>
          </w:p>
        </w:tc>
        <w:tc>
          <w:tcPr>
            <w:tcW w:w="1405" w:type="dxa"/>
            <w:vAlign w:val="center"/>
          </w:tcPr>
          <w:p w14:paraId="16E11007" w14:textId="20A384FF" w:rsidR="006E1E9D" w:rsidRPr="00AA4FDE" w:rsidRDefault="006E1E9D" w:rsidP="006E1E9D">
            <w:pPr>
              <w:jc w:val="center"/>
              <w:rPr>
                <w:b/>
                <w:sz w:val="18"/>
                <w:szCs w:val="20"/>
              </w:rPr>
            </w:pPr>
            <w:r w:rsidRPr="007C732F">
              <w:rPr>
                <w:b/>
                <w:sz w:val="18"/>
                <w:szCs w:val="20"/>
              </w:rPr>
              <w:t>Sur toute la durée du contrat</w:t>
            </w:r>
          </w:p>
        </w:tc>
        <w:tc>
          <w:tcPr>
            <w:tcW w:w="3432" w:type="dxa"/>
            <w:vAlign w:val="center"/>
          </w:tcPr>
          <w:p w14:paraId="3C31F21E" w14:textId="77777777" w:rsidR="006E1E9D" w:rsidRPr="007C732F" w:rsidRDefault="006E1E9D" w:rsidP="006E1E9D">
            <w:pPr>
              <w:jc w:val="center"/>
              <w:rPr>
                <w:sz w:val="18"/>
                <w:szCs w:val="20"/>
              </w:rPr>
            </w:pPr>
            <w:r w:rsidRPr="007C732F">
              <w:rPr>
                <w:b/>
                <w:sz w:val="18"/>
                <w:szCs w:val="20"/>
              </w:rPr>
              <w:t>Contrôle administratif </w:t>
            </w:r>
          </w:p>
          <w:p w14:paraId="53308B26" w14:textId="63224DAD" w:rsidR="006E1E9D" w:rsidRDefault="006E1E9D" w:rsidP="006E1E9D">
            <w:pPr>
              <w:jc w:val="center"/>
              <w:rPr>
                <w:b/>
                <w:sz w:val="18"/>
                <w:szCs w:val="20"/>
              </w:rPr>
            </w:pPr>
            <w:r w:rsidRPr="007C732F">
              <w:rPr>
                <w:sz w:val="18"/>
                <w:szCs w:val="20"/>
              </w:rPr>
              <w:t>Vérification du bilan IFT transmis chaque année à la DDT(M)</w:t>
            </w:r>
          </w:p>
        </w:tc>
        <w:tc>
          <w:tcPr>
            <w:tcW w:w="3798" w:type="dxa"/>
            <w:vAlign w:val="center"/>
          </w:tcPr>
          <w:p w14:paraId="085709E6" w14:textId="360ACB74"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7206461B" w14:textId="77777777" w:rsidTr="00076ADF">
        <w:trPr>
          <w:trHeight w:val="157"/>
        </w:trPr>
        <w:tc>
          <w:tcPr>
            <w:tcW w:w="6533" w:type="dxa"/>
            <w:vAlign w:val="center"/>
          </w:tcPr>
          <w:p w14:paraId="04CEFB38" w14:textId="22B3E863" w:rsidR="006E1E9D" w:rsidRDefault="006E1E9D" w:rsidP="006E1E9D">
            <w:pPr>
              <w:rPr>
                <w:rFonts w:cs="Calibri"/>
                <w:sz w:val="18"/>
              </w:rPr>
            </w:pPr>
            <w:r w:rsidRPr="00D75547">
              <w:rPr>
                <w:rFonts w:cs="Calibri"/>
                <w:sz w:val="18"/>
              </w:rPr>
              <w:t>Se faire accompagner par un technicien au moins 3 années sur 5 pour la réalisation du bilan IFT. Se référer au point 7.</w:t>
            </w:r>
            <w:r>
              <w:rPr>
                <w:rFonts w:cs="Calibri"/>
                <w:sz w:val="18"/>
              </w:rPr>
              <w:t>11</w:t>
            </w:r>
            <w:r w:rsidRPr="00D75547">
              <w:rPr>
                <w:rFonts w:cs="Calibri"/>
                <w:sz w:val="18"/>
              </w:rPr>
              <w:t>.</w:t>
            </w:r>
          </w:p>
        </w:tc>
        <w:tc>
          <w:tcPr>
            <w:tcW w:w="1405" w:type="dxa"/>
            <w:vAlign w:val="center"/>
          </w:tcPr>
          <w:p w14:paraId="13884FD0" w14:textId="4948EEE5" w:rsidR="006E1E9D" w:rsidRPr="00AA4FDE" w:rsidRDefault="006E1E9D" w:rsidP="006E1E9D">
            <w:pPr>
              <w:jc w:val="center"/>
              <w:rPr>
                <w:b/>
                <w:sz w:val="18"/>
                <w:szCs w:val="20"/>
              </w:rPr>
            </w:pPr>
            <w:r w:rsidRPr="00D75547">
              <w:rPr>
                <w:b/>
                <w:sz w:val="18"/>
                <w:szCs w:val="20"/>
              </w:rPr>
              <w:t>Sur toute la durée du contrat</w:t>
            </w:r>
          </w:p>
        </w:tc>
        <w:tc>
          <w:tcPr>
            <w:tcW w:w="3432" w:type="dxa"/>
            <w:vAlign w:val="center"/>
          </w:tcPr>
          <w:p w14:paraId="0E01A9E0" w14:textId="77777777" w:rsidR="006E1E9D" w:rsidRPr="003E7CFD" w:rsidRDefault="006E1E9D" w:rsidP="006E1E9D">
            <w:pPr>
              <w:jc w:val="center"/>
              <w:rPr>
                <w:sz w:val="18"/>
                <w:szCs w:val="20"/>
              </w:rPr>
            </w:pPr>
            <w:r w:rsidRPr="003E7CFD">
              <w:rPr>
                <w:b/>
                <w:sz w:val="18"/>
                <w:szCs w:val="20"/>
              </w:rPr>
              <w:t>Contrôle sur place </w:t>
            </w:r>
          </w:p>
          <w:p w14:paraId="6F6AA870" w14:textId="70DEB251" w:rsidR="006E1E9D" w:rsidRDefault="006E1E9D" w:rsidP="006E1E9D">
            <w:pPr>
              <w:jc w:val="center"/>
              <w:rPr>
                <w:b/>
                <w:sz w:val="18"/>
                <w:szCs w:val="20"/>
              </w:rPr>
            </w:pPr>
            <w:r w:rsidRPr="003E7CFD">
              <w:rPr>
                <w:sz w:val="18"/>
                <w:szCs w:val="20"/>
              </w:rPr>
              <w:t>Vérification du nombre de bilans IFT réalisés avec un technicien (factures ou attestations de la prestation).</w:t>
            </w:r>
          </w:p>
        </w:tc>
        <w:tc>
          <w:tcPr>
            <w:tcW w:w="3798" w:type="dxa"/>
            <w:vAlign w:val="center"/>
          </w:tcPr>
          <w:p w14:paraId="69CCD4A2" w14:textId="2A6BB341" w:rsidR="006E1E9D" w:rsidRPr="00D75547" w:rsidRDefault="006E1E9D" w:rsidP="006E1E9D">
            <w:pPr>
              <w:jc w:val="center"/>
              <w:rPr>
                <w:sz w:val="18"/>
                <w:szCs w:val="20"/>
              </w:rPr>
            </w:pPr>
            <w:r w:rsidRPr="00D75547">
              <w:rPr>
                <w:sz w:val="18"/>
                <w:szCs w:val="20"/>
              </w:rPr>
              <w:t>Anomalie réversible, dossier, totale, d’importance égale à 0,05</w:t>
            </w:r>
          </w:p>
        </w:tc>
      </w:tr>
      <w:tr w:rsidR="006E1E9D" w:rsidRPr="00AA4FDE" w14:paraId="4E084D5F" w14:textId="77777777" w:rsidTr="00076ADF">
        <w:trPr>
          <w:trHeight w:val="157"/>
        </w:trPr>
        <w:tc>
          <w:tcPr>
            <w:tcW w:w="6533" w:type="dxa"/>
            <w:vAlign w:val="center"/>
          </w:tcPr>
          <w:p w14:paraId="4E60D590" w14:textId="3741F0C8" w:rsidR="006E1E9D" w:rsidRDefault="006E1E9D" w:rsidP="006E1E9D">
            <w:pPr>
              <w:rPr>
                <w:rFonts w:cs="Calibri"/>
                <w:sz w:val="18"/>
              </w:rPr>
            </w:pPr>
            <w:r w:rsidRPr="007C732F">
              <w:rPr>
                <w:rFonts w:cs="Calibri"/>
                <w:sz w:val="18"/>
              </w:rPr>
              <w:t>A partir de la 2ème année d'engagement (campagne culturale 2023/2024), ne pas dépasser</w:t>
            </w:r>
            <w:r>
              <w:rPr>
                <w:rFonts w:cs="Calibri"/>
                <w:sz w:val="18"/>
              </w:rPr>
              <w:t xml:space="preserve"> </w:t>
            </w:r>
            <w:r w:rsidRPr="007C732F">
              <w:rPr>
                <w:rFonts w:cs="Calibri"/>
                <w:sz w:val="18"/>
              </w:rPr>
              <w:t>les IFT herbicides de référence sur les surfaces engagées et les surfaces non-engagées. Se référer au point 7.</w:t>
            </w:r>
            <w:r>
              <w:rPr>
                <w:rFonts w:cs="Calibri"/>
                <w:sz w:val="18"/>
              </w:rPr>
              <w:t>10</w:t>
            </w:r>
            <w:r w:rsidRPr="007C732F">
              <w:rPr>
                <w:rFonts w:cs="Calibri"/>
                <w:sz w:val="18"/>
              </w:rPr>
              <w:t>.</w:t>
            </w:r>
          </w:p>
        </w:tc>
        <w:tc>
          <w:tcPr>
            <w:tcW w:w="1405" w:type="dxa"/>
            <w:vAlign w:val="center"/>
          </w:tcPr>
          <w:p w14:paraId="73EDC2A3" w14:textId="2A9923A5" w:rsidR="006E1E9D" w:rsidRPr="00AA4FDE" w:rsidRDefault="006E1E9D" w:rsidP="006E1E9D">
            <w:pPr>
              <w:jc w:val="center"/>
              <w:rPr>
                <w:b/>
                <w:sz w:val="18"/>
                <w:szCs w:val="20"/>
              </w:rPr>
            </w:pPr>
            <w:r w:rsidRPr="00D75547">
              <w:rPr>
                <w:b/>
                <w:sz w:val="18"/>
                <w:szCs w:val="20"/>
              </w:rPr>
              <w:t>A partir de la campagne culturale 2023/2024</w:t>
            </w:r>
          </w:p>
        </w:tc>
        <w:tc>
          <w:tcPr>
            <w:tcW w:w="3432" w:type="dxa"/>
            <w:vAlign w:val="center"/>
          </w:tcPr>
          <w:p w14:paraId="24D72FF6" w14:textId="77777777" w:rsidR="006E1E9D" w:rsidRPr="00AA4FDE" w:rsidRDefault="006E1E9D" w:rsidP="006E1E9D">
            <w:pPr>
              <w:jc w:val="center"/>
              <w:rPr>
                <w:b/>
                <w:sz w:val="18"/>
                <w:szCs w:val="20"/>
              </w:rPr>
            </w:pPr>
            <w:r w:rsidRPr="00AA4FDE">
              <w:rPr>
                <w:b/>
                <w:sz w:val="18"/>
                <w:szCs w:val="20"/>
              </w:rPr>
              <w:t>Contrôle sur place </w:t>
            </w:r>
          </w:p>
          <w:p w14:paraId="0350D271" w14:textId="6E57A377" w:rsidR="006E1E9D" w:rsidRDefault="006E1E9D" w:rsidP="006E1E9D">
            <w:pPr>
              <w:jc w:val="center"/>
              <w:rPr>
                <w:b/>
                <w:sz w:val="18"/>
                <w:szCs w:val="20"/>
              </w:rPr>
            </w:pPr>
            <w:r w:rsidRPr="00AA4FDE">
              <w:rPr>
                <w:sz w:val="18"/>
                <w:szCs w:val="20"/>
              </w:rPr>
              <w:t>Vérification du cahier d’enregistrement des pratiques phytosanitaires, des factures d’achat de produits phytosanitaires et du bilan IFT.</w:t>
            </w:r>
          </w:p>
        </w:tc>
        <w:tc>
          <w:tcPr>
            <w:tcW w:w="3798" w:type="dxa"/>
            <w:vAlign w:val="center"/>
          </w:tcPr>
          <w:p w14:paraId="4EA5E9D4" w14:textId="7B629816" w:rsidR="006E1E9D" w:rsidRPr="00D75547" w:rsidRDefault="006E1E9D" w:rsidP="006E1E9D">
            <w:pPr>
              <w:jc w:val="center"/>
              <w:rPr>
                <w:sz w:val="18"/>
                <w:szCs w:val="20"/>
              </w:rPr>
            </w:pPr>
            <w:r w:rsidRPr="00AA4FDE">
              <w:rPr>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27CD8302" w:rsidR="00872D43" w:rsidRDefault="00EA29A5" w:rsidP="008125C6">
      <w:pPr>
        <w:pStyle w:val="Titre2"/>
        <w:spacing w:after="0"/>
        <w:rPr>
          <w:rFonts w:cstheme="majorHAnsi"/>
          <w:szCs w:val="24"/>
        </w:rPr>
      </w:pPr>
      <w:r>
        <w:rPr>
          <w:rFonts w:cstheme="majorHAnsi"/>
          <w:szCs w:val="24"/>
        </w:rPr>
        <w:t>Définitions</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lastRenderedPageBreak/>
        <w:t>Voir la fiche conditionnalité pour la définition exacte de chacun de ces éléments et surfaces, ainsi que les coefficients de conversion et de pondération à retenir pour le calcul des pourcentages.</w:t>
      </w:r>
    </w:p>
    <w:p w14:paraId="0CBAD23F" w14:textId="01A1BC35" w:rsidR="003C0C92" w:rsidRDefault="003C0C92" w:rsidP="003C0C92">
      <w:pPr>
        <w:pStyle w:val="Titre2"/>
        <w:rPr>
          <w:rFonts w:eastAsiaTheme="minorHAnsi"/>
        </w:rPr>
      </w:pPr>
      <w:r w:rsidRPr="003C0C92">
        <w:t>Couverture</w:t>
      </w:r>
      <w:r>
        <w:rPr>
          <w:rFonts w:eastAsiaTheme="minorHAnsi"/>
        </w:rPr>
        <w:t xml:space="preserve"> des sols</w:t>
      </w:r>
    </w:p>
    <w:p w14:paraId="0427763B" w14:textId="7692B359" w:rsidR="003C0C92" w:rsidRDefault="003C0C92" w:rsidP="003C0C92">
      <w:r>
        <w:t xml:space="preserve">Dans le cadre de cette mesure </w:t>
      </w:r>
      <w:r w:rsidR="00063E80">
        <w:t>est</w:t>
      </w:r>
      <w:r>
        <w:t xml:space="preserve"> considéré comme sol couvert :</w:t>
      </w:r>
    </w:p>
    <w:p w14:paraId="232273B9" w14:textId="5DADCFC7" w:rsidR="003C0C92" w:rsidRDefault="003C0C92" w:rsidP="003C0C92">
      <w:pPr>
        <w:pStyle w:val="Paragraphedeliste"/>
        <w:numPr>
          <w:ilvl w:val="0"/>
          <w:numId w:val="36"/>
        </w:numPr>
      </w:pPr>
      <w:r w:rsidRPr="003C0C92">
        <w:t>Tout couvert semé (</w:t>
      </w:r>
      <w:r w:rsidR="009A27CB">
        <w:t xml:space="preserve">notamment </w:t>
      </w:r>
      <w:r w:rsidRPr="003C0C92">
        <w:t>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34BE00C4" w14:textId="574D0FCE" w:rsidR="003C0C92" w:rsidRPr="003C0C92" w:rsidRDefault="003C0C92" w:rsidP="003C0C92">
      <w:pPr>
        <w:pStyle w:val="Paragraphedeliste"/>
        <w:numPr>
          <w:ilvl w:val="0"/>
          <w:numId w:val="36"/>
        </w:numPr>
      </w:pPr>
      <w:r>
        <w:t>L</w:t>
      </w:r>
      <w:r w:rsidRPr="003C0C92">
        <w:t xml:space="preserve">es repousses de colza denses et homogènes. On considère alors que le sol est couvert de la date de la récolte du précédent (le colza) jusqu'à la date de destruction des </w:t>
      </w:r>
      <w:r w:rsidR="00063E80">
        <w:t>repousses.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35CB0861"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2023, au titre de la campagne culturale 2023/2024.</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lastRenderedPageBreak/>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574575A2"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2023-2024)</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34A35418"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 2024-2025)</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5D3041" w:rsidRPr="005D3041" w:rsidRDefault="009A27CB" w:rsidP="00CE75EA">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3832D059"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2025-2026)</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5D3041" w:rsidRPr="005D3041" w:rsidRDefault="009A27CB" w:rsidP="008125C6">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8125C6">
              <w:rPr>
                <w:rFonts w:eastAsia="Times New Roman" w:cs="Calibri"/>
                <w:bCs/>
                <w:i/>
                <w:sz w:val="18"/>
                <w:highlight w:val="yellow"/>
                <w:lang w:eastAsia="fr-FR"/>
              </w:rPr>
              <w:t xml:space="preserve"> [70%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3F58219F"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2026-2027)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5D3041" w:rsidRPr="005D3041" w:rsidRDefault="009A27CB" w:rsidP="007B5CF3">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C15A21"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1850BF4B" w14:textId="578544B6" w:rsidR="00E0403E" w:rsidRPr="00E0403E" w:rsidRDefault="00E0403E">
      <w:pPr>
        <w:pStyle w:val="Titre2"/>
        <w:rPr>
          <w:rFonts w:eastAsiaTheme="minorHAnsi" w:cstheme="minorBidi"/>
          <w:szCs w:val="22"/>
        </w:rPr>
      </w:pPr>
      <w:r w:rsidRPr="00E0403E">
        <w:rPr>
          <w:rFonts w:eastAsiaTheme="minorHAnsi" w:cstheme="minorBidi"/>
          <w:szCs w:val="22"/>
        </w:rPr>
        <w:t>Respect du ratio SAMO/SPE</w:t>
      </w:r>
    </w:p>
    <w:p w14:paraId="65A2EDB7" w14:textId="706D6D70" w:rsidR="00E0403E" w:rsidRDefault="00E0403E" w:rsidP="00AA2C9B">
      <w:r>
        <w:t xml:space="preserve">La </w:t>
      </w:r>
      <w:r w:rsidRPr="00BB3838">
        <w:rPr>
          <w:rStyle w:val="Accentuation"/>
          <w:i w:val="0"/>
        </w:rPr>
        <w:t>surface potentiellement épandable</w:t>
      </w:r>
      <w:r>
        <w:t xml:space="preserve"> (SPE) est la </w:t>
      </w:r>
      <w:r w:rsidR="00BB3838">
        <w:t>part de la SAU</w:t>
      </w:r>
      <w:r>
        <w:t xml:space="preserve"> susceptible de recevoir des fertilisants azotés d'origine organique issus des effluents d'élevage. </w:t>
      </w:r>
      <w:r w:rsidRPr="00E0403E">
        <w:t xml:space="preserve">Sont donc exclues </w:t>
      </w:r>
      <w:r w:rsidR="00BB3838">
        <w:t xml:space="preserve">de la </w:t>
      </w:r>
      <w:r w:rsidR="00E32875">
        <w:t xml:space="preserve">SPE </w:t>
      </w:r>
      <w:r w:rsidRPr="00E0403E">
        <w:t>les surfaces interdites à</w:t>
      </w:r>
      <w:r>
        <w:t xml:space="preserve"> </w:t>
      </w:r>
      <w:r w:rsidRPr="00E0403E">
        <w:t xml:space="preserve">l'épandage </w:t>
      </w:r>
      <w:r w:rsidR="00AA2C9B">
        <w:t xml:space="preserve">du fait de la règlementation, </w:t>
      </w:r>
      <w:r w:rsidR="00AA2C9B" w:rsidRPr="00AA2C9B">
        <w:t>ainsi que les surfaces qui n'en</w:t>
      </w:r>
      <w:r w:rsidR="00AA2C9B">
        <w:t xml:space="preserve"> reçoivent pas pour des raisons </w:t>
      </w:r>
      <w:r w:rsidR="00AA2C9B" w:rsidRPr="00AA2C9B">
        <w:t xml:space="preserve">agronomiques : terres nues, </w:t>
      </w:r>
      <w:r w:rsidR="00AA2C9B">
        <w:t>jachères</w:t>
      </w:r>
      <w:r w:rsidR="00AA2C9B" w:rsidRPr="00AA2C9B">
        <w:t>, légumineuses et vergers.</w:t>
      </w:r>
    </w:p>
    <w:p w14:paraId="10284AC3" w14:textId="41D807CD" w:rsidR="00AA2C9B" w:rsidRDefault="00AA2C9B" w:rsidP="00AA2C9B">
      <w:r>
        <w:t xml:space="preserve">La surface amendée en matière organique </w:t>
      </w:r>
      <w:r w:rsidR="006152D1">
        <w:t xml:space="preserve">(SAMO) </w:t>
      </w:r>
      <w:r w:rsidR="00F94294">
        <w:t xml:space="preserve">correspond à </w:t>
      </w:r>
      <w:r>
        <w:t>la surface ayant été amendée au moins une fois dans l’année avec des matières organiques.</w:t>
      </w:r>
    </w:p>
    <w:p w14:paraId="3AE1CD41" w14:textId="5A4D38A3" w:rsidR="000B18B7" w:rsidRDefault="000B18B7" w:rsidP="000B18B7">
      <w:r>
        <w:lastRenderedPageBreak/>
        <w:t xml:space="preserve">Le ratio SAMO/SPE minimal à respecter sur une année donnée est </w:t>
      </w:r>
      <w:r w:rsidR="00F94294">
        <w:t xml:space="preserve">présenté </w:t>
      </w:r>
      <w:r>
        <w:t xml:space="preserve">dans le tableau ci-dessous, en fonction du ratio de la quantité d’azote maîtrisable de l’exploitation (déterminée dans le </w:t>
      </w:r>
      <w:r w:rsidR="00F94294">
        <w:t>PPF</w:t>
      </w:r>
      <w:r>
        <w:t>) sur la surface potentiellement épandable :</w:t>
      </w:r>
    </w:p>
    <w:tbl>
      <w:tblPr>
        <w:tblStyle w:val="Grilledutableau"/>
        <w:tblW w:w="0" w:type="auto"/>
        <w:tblLook w:val="04A0" w:firstRow="1" w:lastRow="0" w:firstColumn="1" w:lastColumn="0" w:noHBand="0" w:noVBand="1"/>
      </w:tblPr>
      <w:tblGrid>
        <w:gridCol w:w="5240"/>
        <w:gridCol w:w="3820"/>
      </w:tblGrid>
      <w:tr w:rsidR="006152D1" w14:paraId="7D186E8C" w14:textId="77777777" w:rsidTr="006152D1">
        <w:tc>
          <w:tcPr>
            <w:tcW w:w="5240" w:type="dxa"/>
          </w:tcPr>
          <w:p w14:paraId="2495C4B8" w14:textId="7E278D41" w:rsidR="006152D1" w:rsidRDefault="006152D1" w:rsidP="00E0403E">
            <w:r>
              <w:t>Quantité d’azote maîtrisable de l’exploitation/SPE</w:t>
            </w:r>
          </w:p>
        </w:tc>
        <w:tc>
          <w:tcPr>
            <w:tcW w:w="3820" w:type="dxa"/>
            <w:vAlign w:val="center"/>
          </w:tcPr>
          <w:p w14:paraId="20A88C3B" w14:textId="51E72456" w:rsidR="006152D1" w:rsidRDefault="006152D1" w:rsidP="006152D1">
            <w:pPr>
              <w:jc w:val="center"/>
            </w:pPr>
            <w:r>
              <w:t>SAMO/SPE minimal à respecter</w:t>
            </w:r>
          </w:p>
        </w:tc>
      </w:tr>
      <w:tr w:rsidR="006152D1" w14:paraId="66803AD5" w14:textId="77777777" w:rsidTr="006152D1">
        <w:tc>
          <w:tcPr>
            <w:tcW w:w="5240" w:type="dxa"/>
            <w:shd w:val="clear" w:color="auto" w:fill="FFFF00"/>
            <w:vAlign w:val="center"/>
          </w:tcPr>
          <w:p w14:paraId="2D55FD20" w14:textId="12C3CC85" w:rsidR="006152D1" w:rsidRPr="006152D1" w:rsidRDefault="006152D1" w:rsidP="006152D1">
            <w:pPr>
              <w:jc w:val="center"/>
              <w:rPr>
                <w:highlight w:val="yellow"/>
              </w:rPr>
            </w:pPr>
            <w:r w:rsidRPr="006152D1">
              <w:rPr>
                <w:highlight w:val="yellow"/>
              </w:rPr>
              <w:t>Inférieure ou égale à X UN/ha</w:t>
            </w:r>
          </w:p>
        </w:tc>
        <w:tc>
          <w:tcPr>
            <w:tcW w:w="3820" w:type="dxa"/>
            <w:shd w:val="clear" w:color="auto" w:fill="FFFF00"/>
          </w:tcPr>
          <w:p w14:paraId="56DC8FA9" w14:textId="77777777" w:rsidR="006152D1" w:rsidRPr="006152D1" w:rsidRDefault="006152D1" w:rsidP="00E0403E">
            <w:pPr>
              <w:rPr>
                <w:highlight w:val="yellow"/>
              </w:rPr>
            </w:pPr>
          </w:p>
        </w:tc>
      </w:tr>
      <w:tr w:rsidR="006152D1" w14:paraId="6423F4C1" w14:textId="77777777" w:rsidTr="006152D1">
        <w:tc>
          <w:tcPr>
            <w:tcW w:w="5240" w:type="dxa"/>
            <w:shd w:val="clear" w:color="auto" w:fill="FFFF00"/>
            <w:vAlign w:val="center"/>
          </w:tcPr>
          <w:p w14:paraId="605DE18E" w14:textId="67652DEE" w:rsidR="006152D1" w:rsidRPr="006152D1" w:rsidRDefault="006152D1" w:rsidP="006152D1">
            <w:pPr>
              <w:jc w:val="center"/>
              <w:rPr>
                <w:highlight w:val="yellow"/>
              </w:rPr>
            </w:pPr>
            <w:r w:rsidRPr="006152D1">
              <w:rPr>
                <w:highlight w:val="yellow"/>
              </w:rPr>
              <w:t>Comprise entre X et Y UN/ha</w:t>
            </w:r>
          </w:p>
        </w:tc>
        <w:tc>
          <w:tcPr>
            <w:tcW w:w="3820" w:type="dxa"/>
            <w:shd w:val="clear" w:color="auto" w:fill="FFFF00"/>
          </w:tcPr>
          <w:p w14:paraId="0CA2FF2C" w14:textId="77777777" w:rsidR="006152D1" w:rsidRPr="006152D1" w:rsidRDefault="006152D1" w:rsidP="00E0403E">
            <w:pPr>
              <w:rPr>
                <w:highlight w:val="yellow"/>
              </w:rPr>
            </w:pPr>
          </w:p>
        </w:tc>
      </w:tr>
      <w:tr w:rsidR="006152D1" w14:paraId="057964F1" w14:textId="77777777" w:rsidTr="006152D1">
        <w:trPr>
          <w:trHeight w:val="565"/>
        </w:trPr>
        <w:tc>
          <w:tcPr>
            <w:tcW w:w="9060" w:type="dxa"/>
            <w:gridSpan w:val="2"/>
            <w:shd w:val="clear" w:color="auto" w:fill="FFFF00"/>
            <w:vAlign w:val="center"/>
          </w:tcPr>
          <w:p w14:paraId="643CA456" w14:textId="51678181" w:rsidR="006152D1" w:rsidRPr="006152D1" w:rsidRDefault="006152D1" w:rsidP="006152D1">
            <w:pPr>
              <w:jc w:val="center"/>
              <w:rPr>
                <w:i/>
                <w:highlight w:val="yellow"/>
              </w:rPr>
            </w:pPr>
            <w:r w:rsidRPr="006152D1">
              <w:rPr>
                <w:i/>
                <w:highlight w:val="yellow"/>
              </w:rPr>
              <w:t>Tableau à compléter par la DRAAF</w:t>
            </w:r>
          </w:p>
        </w:tc>
      </w:tr>
      <w:tr w:rsidR="006152D1" w14:paraId="15FEFD8E" w14:textId="77777777" w:rsidTr="006152D1">
        <w:tc>
          <w:tcPr>
            <w:tcW w:w="5240" w:type="dxa"/>
            <w:shd w:val="clear" w:color="auto" w:fill="FFFF00"/>
            <w:vAlign w:val="center"/>
          </w:tcPr>
          <w:p w14:paraId="3E552CB7" w14:textId="5FAE4177" w:rsidR="006152D1" w:rsidRPr="006152D1" w:rsidRDefault="006152D1" w:rsidP="006152D1">
            <w:pPr>
              <w:jc w:val="center"/>
              <w:rPr>
                <w:highlight w:val="yellow"/>
              </w:rPr>
            </w:pPr>
            <w:r w:rsidRPr="006152D1">
              <w:rPr>
                <w:highlight w:val="yellow"/>
              </w:rPr>
              <w:t>Supérieure à Z UN/ha</w:t>
            </w:r>
          </w:p>
        </w:tc>
        <w:tc>
          <w:tcPr>
            <w:tcW w:w="3820" w:type="dxa"/>
            <w:shd w:val="clear" w:color="auto" w:fill="FFFF00"/>
          </w:tcPr>
          <w:p w14:paraId="64A12B17" w14:textId="77777777" w:rsidR="006152D1" w:rsidRPr="006152D1" w:rsidRDefault="006152D1" w:rsidP="00E0403E">
            <w:pPr>
              <w:rPr>
                <w:highlight w:val="yellow"/>
              </w:rPr>
            </w:pPr>
          </w:p>
        </w:tc>
      </w:tr>
    </w:tbl>
    <w:p w14:paraId="7BFF14B3" w14:textId="5F82BB73" w:rsidR="00AA2C9B" w:rsidRPr="006152D1" w:rsidRDefault="00AA2C9B" w:rsidP="00E0403E">
      <w:pPr>
        <w:rPr>
          <w:i/>
        </w:rPr>
      </w:pPr>
      <w:r>
        <w:t xml:space="preserve"> </w:t>
      </w:r>
      <w:r w:rsidR="006152D1" w:rsidRPr="006152D1">
        <w:rPr>
          <w:i/>
        </w:rPr>
        <w:t xml:space="preserve">Lecture du tableau : si pour une année donnée </w:t>
      </w:r>
      <w:r w:rsidR="006152D1">
        <w:rPr>
          <w:i/>
        </w:rPr>
        <w:t>le ratio</w:t>
      </w:r>
      <w:r w:rsidR="006152D1" w:rsidRPr="006152D1">
        <w:rPr>
          <w:i/>
        </w:rPr>
        <w:t xml:space="preserve"> </w:t>
      </w:r>
      <w:r w:rsidR="006152D1">
        <w:rPr>
          <w:i/>
        </w:rPr>
        <w:t>« </w:t>
      </w:r>
      <w:r w:rsidR="006152D1" w:rsidRPr="006152D1">
        <w:rPr>
          <w:i/>
        </w:rPr>
        <w:t>quantité d’azote maîtrisable de l’exploitation/SPE</w:t>
      </w:r>
      <w:r w:rsidR="006152D1">
        <w:rPr>
          <w:i/>
        </w:rPr>
        <w:t> »</w:t>
      </w:r>
      <w:r w:rsidR="006152D1" w:rsidRPr="006152D1">
        <w:rPr>
          <w:i/>
        </w:rPr>
        <w:t xml:space="preserve"> est compris entre </w:t>
      </w:r>
      <w:r w:rsidR="006152D1" w:rsidRPr="006152D1">
        <w:rPr>
          <w:i/>
          <w:highlight w:val="yellow"/>
        </w:rPr>
        <w:t>X</w:t>
      </w:r>
      <w:r w:rsidR="006152D1" w:rsidRPr="006152D1">
        <w:rPr>
          <w:i/>
        </w:rPr>
        <w:t xml:space="preserve"> et </w:t>
      </w:r>
      <w:r w:rsidR="006152D1" w:rsidRPr="006152D1">
        <w:rPr>
          <w:i/>
          <w:highlight w:val="yellow"/>
        </w:rPr>
        <w:t>Y</w:t>
      </w:r>
      <w:r w:rsidR="006152D1" w:rsidRPr="006152D1">
        <w:rPr>
          <w:i/>
        </w:rPr>
        <w:t xml:space="preserve"> UN/ha, le ratio minimal SAMO/SPE à respecter est de </w:t>
      </w:r>
      <w:r w:rsidR="006152D1" w:rsidRPr="006152D1">
        <w:rPr>
          <w:i/>
          <w:highlight w:val="yellow"/>
        </w:rPr>
        <w:t>XX%.</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3FEA9F0" w14:textId="628203B8" w:rsidR="00C1192C" w:rsidRDefault="006B14C1" w:rsidP="00C1192C">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r w:rsidR="00F6448A" w:rsidRPr="00F6448A">
        <w:t>La localisation des re</w:t>
      </w:r>
      <w:r w:rsidR="00F6448A">
        <w:t xml:space="preserve">liquats </w:t>
      </w:r>
      <w:r w:rsidR="004E58CF">
        <w:t xml:space="preserve">s’effectue </w:t>
      </w:r>
      <w:r w:rsidR="00F6448A">
        <w:t xml:space="preserve">en fonction des </w:t>
      </w:r>
      <w:r w:rsidR="00F6448A" w:rsidRPr="00F6448A">
        <w:rPr>
          <w:i/>
          <w:highlight w:val="yellow"/>
        </w:rPr>
        <w:t>[CHOISIR :</w:t>
      </w:r>
      <w:r w:rsidR="00F6448A">
        <w:rPr>
          <w:i/>
          <w:highlight w:val="yellow"/>
        </w:rPr>
        <w:t>]</w:t>
      </w:r>
      <w:r w:rsidR="00F6448A" w:rsidRPr="00F6448A">
        <w:rPr>
          <w:i/>
          <w:highlight w:val="yellow"/>
        </w:rPr>
        <w:t xml:space="preserve"> </w:t>
      </w:r>
      <w:r w:rsidR="00E23EA3">
        <w:rPr>
          <w:highlight w:val="yellow"/>
        </w:rPr>
        <w:t>cultures</w:t>
      </w:r>
      <w:r w:rsidR="00F6448A" w:rsidRPr="00F6448A">
        <w:rPr>
          <w:highlight w:val="yellow"/>
        </w:rPr>
        <w:t xml:space="preserve"> </w:t>
      </w:r>
      <w:r w:rsidR="00E23EA3">
        <w:rPr>
          <w:i/>
          <w:highlight w:val="yellow"/>
        </w:rPr>
        <w:t xml:space="preserve">[et/ou] </w:t>
      </w:r>
      <w:r w:rsidR="00F6448A"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00F6448A" w:rsidRPr="00F6448A">
        <w:t xml:space="preserve">des surfaces en COP et </w:t>
      </w:r>
      <w:r w:rsidR="00B450A6">
        <w:t>cultures légumières</w:t>
      </w:r>
      <w:r w:rsidR="00B450A6" w:rsidRPr="00F6448A">
        <w:t xml:space="preserve"> </w:t>
      </w:r>
      <w:r w:rsidR="00F6448A"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lastRenderedPageBreak/>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01285690" w14:textId="145A5EEC" w:rsidR="00553CBB" w:rsidRPr="00BF1A7D" w:rsidRDefault="00553CBB" w:rsidP="00553CBB">
      <w:pPr>
        <w:pStyle w:val="Paragraphedeliste"/>
        <w:numPr>
          <w:ilvl w:val="0"/>
          <w:numId w:val="42"/>
        </w:numPr>
        <w:spacing w:line="240" w:lineRule="auto"/>
        <w:rPr>
          <w:highlight w:val="yellow"/>
        </w:rPr>
      </w:pPr>
      <w:r w:rsidRPr="00BF1A7D">
        <w:rPr>
          <w:highlight w:val="yellow"/>
        </w:rPr>
        <w:t>30 ha de blé</w:t>
      </w:r>
    </w:p>
    <w:p w14:paraId="64362BE1" w14:textId="0CDF1142"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15 ha de colza </w:t>
      </w:r>
    </w:p>
    <w:p w14:paraId="0D3E3243" w14:textId="0BA213B2" w:rsidR="00553CBB" w:rsidRPr="00BF1A7D" w:rsidRDefault="00553CBB" w:rsidP="00553CBB">
      <w:pPr>
        <w:pStyle w:val="Paragraphedeliste"/>
        <w:numPr>
          <w:ilvl w:val="0"/>
          <w:numId w:val="42"/>
        </w:numPr>
        <w:spacing w:line="240" w:lineRule="auto"/>
        <w:rPr>
          <w:highlight w:val="yellow"/>
        </w:rPr>
      </w:pPr>
      <w:r w:rsidRPr="00BF1A7D">
        <w:rPr>
          <w:highlight w:val="yellow"/>
        </w:rPr>
        <w:t>20 ha de prairie temporaire</w:t>
      </w:r>
    </w:p>
    <w:p w14:paraId="261AEE90" w14:textId="39E49ED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20 ha d’orge </w:t>
      </w:r>
    </w:p>
    <w:p w14:paraId="723EC2F5" w14:textId="5710F56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10 ha de maïs </w:t>
      </w:r>
    </w:p>
    <w:p w14:paraId="40A3222C" w14:textId="4E3E5109" w:rsidR="00553CBB" w:rsidRPr="00BF1A7D" w:rsidRDefault="00553CBB" w:rsidP="00553CBB">
      <w:pPr>
        <w:pStyle w:val="Paragraphedeliste"/>
        <w:numPr>
          <w:ilvl w:val="0"/>
          <w:numId w:val="42"/>
        </w:numPr>
        <w:spacing w:line="240" w:lineRule="auto"/>
        <w:rPr>
          <w:highlight w:val="yellow"/>
        </w:rPr>
      </w:pPr>
      <w:r w:rsidRPr="00BF1A7D">
        <w:rPr>
          <w:highlight w:val="yellow"/>
        </w:rPr>
        <w:t>5 ha de pomme-de-terre</w:t>
      </w:r>
    </w:p>
    <w:p w14:paraId="1FE63D02" w14:textId="686FD5C3" w:rsidR="00553CBB" w:rsidRPr="00BF1A7D" w:rsidRDefault="00553CBB" w:rsidP="00553CBB">
      <w:pPr>
        <w:rPr>
          <w:highlight w:val="yellow"/>
        </w:rPr>
      </w:pPr>
      <w:r w:rsidRPr="00BF1A7D">
        <w:rPr>
          <w:highlight w:val="yellow"/>
        </w:rPr>
        <w:t>Le bénéficiaire a réalisé 5 analyse</w:t>
      </w:r>
      <w:r w:rsidR="00BF1A7D" w:rsidRPr="00BF1A7D">
        <w:rPr>
          <w:highlight w:val="yellow"/>
        </w:rPr>
        <w:t>s</w:t>
      </w:r>
      <w:r w:rsidRPr="00BF1A7D">
        <w:rPr>
          <w:highlight w:val="yellow"/>
        </w:rPr>
        <w:t xml:space="preserve"> REH, </w:t>
      </w:r>
      <w:r w:rsidR="00BF1A7D" w:rsidRPr="00BF1A7D">
        <w:rPr>
          <w:highlight w:val="yellow"/>
        </w:rPr>
        <w:t xml:space="preserve">deux au sein </w:t>
      </w:r>
      <w:r w:rsidR="004756FB">
        <w:rPr>
          <w:highlight w:val="yellow"/>
        </w:rPr>
        <w:t>des parcelles déclarées en blé</w:t>
      </w:r>
      <w:r w:rsidR="00BF1A7D" w:rsidRPr="00BF1A7D">
        <w:rPr>
          <w:highlight w:val="yellow"/>
        </w:rPr>
        <w:t xml:space="preserve"> (REH1 et </w:t>
      </w:r>
      <w:r w:rsidRPr="00BF1A7D">
        <w:rPr>
          <w:highlight w:val="yellow"/>
        </w:rPr>
        <w:t>REH2),</w:t>
      </w:r>
      <w:r w:rsidR="00BF1A7D" w:rsidRPr="00BF1A7D">
        <w:rPr>
          <w:highlight w:val="yellow"/>
        </w:rPr>
        <w:t xml:space="preserve"> et </w:t>
      </w:r>
      <w:r w:rsidR="00D223F1">
        <w:rPr>
          <w:highlight w:val="yellow"/>
        </w:rPr>
        <w:t>trois</w:t>
      </w:r>
      <w:r w:rsidR="00BF1A7D" w:rsidRPr="00BF1A7D">
        <w:rPr>
          <w:highlight w:val="yellow"/>
        </w:rPr>
        <w:t xml:space="preserve"> au sein des </w:t>
      </w:r>
      <w:r w:rsidR="004756FB">
        <w:rPr>
          <w:highlight w:val="yellow"/>
        </w:rPr>
        <w:t>parcelles déclarées en colza</w:t>
      </w:r>
      <w:r w:rsidR="00BF1A7D" w:rsidRPr="00BF1A7D">
        <w:rPr>
          <w:highlight w:val="yellow"/>
        </w:rPr>
        <w:t xml:space="preserve"> (REH3), </w:t>
      </w:r>
      <w:r w:rsidR="004756FB">
        <w:rPr>
          <w:highlight w:val="yellow"/>
        </w:rPr>
        <w:t>orge</w:t>
      </w:r>
      <w:r w:rsidRPr="00BF1A7D">
        <w:rPr>
          <w:highlight w:val="yellow"/>
        </w:rPr>
        <w:t xml:space="preserve"> (REH</w:t>
      </w:r>
      <w:r w:rsidR="004756FB">
        <w:rPr>
          <w:highlight w:val="yellow"/>
        </w:rPr>
        <w:t>4) et maïs</w:t>
      </w:r>
      <w:r w:rsidR="00BF1A7D" w:rsidRPr="00BF1A7D">
        <w:rPr>
          <w:highlight w:val="yellow"/>
        </w:rPr>
        <w:t xml:space="preserve"> (REH5</w:t>
      </w:r>
      <w:r w:rsidRPr="00BF1A7D">
        <w:rPr>
          <w:highlight w:val="yellow"/>
        </w:rPr>
        <w:t>), qui correspondent aux principales cultures de son assolement. Le calcul du REH exploitation se fait de la façon suivante :</w:t>
      </w:r>
    </w:p>
    <w:p w14:paraId="5EBF3E7B" w14:textId="32528475"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REH4×</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xml:space="preserve">+ </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den>
        </m:f>
      </m:oMath>
    </w:p>
    <w:p w14:paraId="62E3CE68" w14:textId="77777777" w:rsidR="00BF1A7D" w:rsidRDefault="00BF1A7D" w:rsidP="00553CBB">
      <w:pPr>
        <w:jc w:val="center"/>
        <w:rPr>
          <w:rFonts w:ascii="Cambria Math" w:hAnsi="Cambria Math"/>
          <w:i/>
          <w:sz w:val="24"/>
        </w:rPr>
      </w:pPr>
    </w:p>
    <w:p w14:paraId="69CCDCD5" w14:textId="757039DE"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×30+REH2×15+ REH4×20+REH5×10</m:t>
            </m:r>
          </m:num>
          <m:den>
            <m:r>
              <w:rPr>
                <w:rFonts w:ascii="Cambria Math" w:hAnsi="Cambria Math"/>
                <w:sz w:val="28"/>
                <w:highlight w:val="yellow"/>
              </w:rPr>
              <m:t>75</m:t>
            </m:r>
          </m:den>
        </m:f>
      </m:oMath>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42CBD5A6" w14:textId="07903122" w:rsidR="007B5CF3" w:rsidRPr="00BF1A7D" w:rsidRDefault="007B5CF3" w:rsidP="002E1184">
      <w:pPr>
        <w:pStyle w:val="Paragraphedeliste"/>
        <w:numPr>
          <w:ilvl w:val="0"/>
          <w:numId w:val="44"/>
        </w:numPr>
        <w:spacing w:line="240" w:lineRule="auto"/>
        <w:rPr>
          <w:highlight w:val="yellow"/>
        </w:rPr>
      </w:pPr>
      <w:r w:rsidRPr="00BF1A7D">
        <w:rPr>
          <w:highlight w:val="yellow"/>
        </w:rPr>
        <w:t>20</w:t>
      </w:r>
      <w:r w:rsidR="006B14C1" w:rsidRPr="00BF1A7D">
        <w:rPr>
          <w:highlight w:val="yellow"/>
        </w:rPr>
        <w:t xml:space="preserve"> ha de blé </w:t>
      </w:r>
      <w:r w:rsidR="002E1184">
        <w:rPr>
          <w:highlight w:val="yellow"/>
        </w:rPr>
        <w:t>–</w:t>
      </w:r>
      <w:r w:rsidRPr="00BF1A7D">
        <w:rPr>
          <w:highlight w:val="yellow"/>
        </w:rPr>
        <w:t xml:space="preserve"> </w:t>
      </w:r>
      <w:r w:rsidR="002E1184">
        <w:rPr>
          <w:highlight w:val="yellow"/>
        </w:rPr>
        <w:t xml:space="preserve">suivi d’un </w:t>
      </w:r>
      <w:r w:rsidR="006B14C1" w:rsidRPr="00BF1A7D">
        <w:rPr>
          <w:highlight w:val="yellow"/>
        </w:rPr>
        <w:t>colza</w:t>
      </w:r>
    </w:p>
    <w:p w14:paraId="15671F59" w14:textId="3AB89F92" w:rsidR="007B5CF3" w:rsidRPr="00BF1A7D" w:rsidRDefault="006B14C1" w:rsidP="002E1184">
      <w:pPr>
        <w:pStyle w:val="Paragraphedeliste"/>
        <w:numPr>
          <w:ilvl w:val="0"/>
          <w:numId w:val="44"/>
        </w:numPr>
        <w:spacing w:line="240" w:lineRule="auto"/>
        <w:rPr>
          <w:highlight w:val="yellow"/>
        </w:rPr>
      </w:pPr>
      <w:r w:rsidRPr="00BF1A7D">
        <w:rPr>
          <w:highlight w:val="yellow"/>
        </w:rPr>
        <w:t>10 ha</w:t>
      </w:r>
      <w:r w:rsidR="007B5CF3" w:rsidRPr="00BF1A7D">
        <w:rPr>
          <w:highlight w:val="yellow"/>
        </w:rPr>
        <w:t xml:space="preserve"> de blé </w:t>
      </w:r>
      <w:r w:rsidR="002E1184">
        <w:rPr>
          <w:highlight w:val="yellow"/>
        </w:rPr>
        <w:t>–</w:t>
      </w:r>
      <w:r w:rsidR="007B5CF3" w:rsidRPr="00BF1A7D">
        <w:rPr>
          <w:highlight w:val="yellow"/>
        </w:rPr>
        <w:t xml:space="preserve"> </w:t>
      </w:r>
      <w:r w:rsidR="002E1184">
        <w:rPr>
          <w:highlight w:val="yellow"/>
        </w:rPr>
        <w:t>suivi d’une</w:t>
      </w:r>
      <w:r w:rsidR="007B5CF3" w:rsidRPr="00BF1A7D">
        <w:rPr>
          <w:highlight w:val="yellow"/>
        </w:rPr>
        <w:t xml:space="preserve"> prairie temporaire</w:t>
      </w:r>
    </w:p>
    <w:p w14:paraId="71D15B01" w14:textId="40B5FCB3"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15 ha de colza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maïs</w:t>
      </w:r>
    </w:p>
    <w:p w14:paraId="3740420A" w14:textId="4EFF253B" w:rsidR="007B5CF3" w:rsidRPr="00BF1A7D" w:rsidRDefault="00553CBB" w:rsidP="002E1184">
      <w:pPr>
        <w:pStyle w:val="Paragraphedeliste"/>
        <w:numPr>
          <w:ilvl w:val="0"/>
          <w:numId w:val="44"/>
        </w:numPr>
        <w:spacing w:line="240" w:lineRule="auto"/>
        <w:rPr>
          <w:highlight w:val="yellow"/>
        </w:rPr>
      </w:pPr>
      <w:r w:rsidRPr="00BF1A7D">
        <w:rPr>
          <w:highlight w:val="yellow"/>
        </w:rPr>
        <w:t>20 ha de</w:t>
      </w:r>
      <w:r w:rsidR="007B5CF3" w:rsidRPr="00BF1A7D">
        <w:rPr>
          <w:highlight w:val="yellow"/>
        </w:rPr>
        <w:t xml:space="preserve"> prairie temporaire</w:t>
      </w:r>
    </w:p>
    <w:p w14:paraId="2D1D4C91" w14:textId="465E7DD9"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20 ha d’orge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blé</w:t>
      </w:r>
    </w:p>
    <w:p w14:paraId="7037D794" w14:textId="246EC545"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10 ha de maïs </w:t>
      </w:r>
      <w:r w:rsidR="002E1184">
        <w:rPr>
          <w:highlight w:val="yellow"/>
        </w:rPr>
        <w:t>–</w:t>
      </w:r>
      <w:r w:rsidRPr="00BF1A7D">
        <w:rPr>
          <w:highlight w:val="yellow"/>
        </w:rPr>
        <w:t xml:space="preserve"> </w:t>
      </w:r>
      <w:r w:rsidR="002E1184">
        <w:rPr>
          <w:highlight w:val="yellow"/>
        </w:rPr>
        <w:t xml:space="preserve">suivi d’un </w:t>
      </w:r>
      <w:r w:rsidRPr="00BF1A7D">
        <w:rPr>
          <w:highlight w:val="yellow"/>
        </w:rPr>
        <w:t>blé</w:t>
      </w:r>
    </w:p>
    <w:p w14:paraId="1575BB9D" w14:textId="3463DEF7"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5 ha de maïs – </w:t>
      </w:r>
      <w:r w:rsidR="002E1184">
        <w:rPr>
          <w:highlight w:val="yellow"/>
        </w:rPr>
        <w:t>suivi d’un</w:t>
      </w:r>
      <w:r w:rsidRPr="00BF1A7D">
        <w:rPr>
          <w:highlight w:val="yellow"/>
        </w:rPr>
        <w:t xml:space="preserve"> colza</w:t>
      </w:r>
    </w:p>
    <w:p w14:paraId="3D670440" w14:textId="64AF236E" w:rsidR="00C1192C" w:rsidRPr="00BF1A7D" w:rsidRDefault="007B5CF3" w:rsidP="00C1192C">
      <w:pPr>
        <w:rPr>
          <w:highlight w:val="yellow"/>
        </w:rPr>
      </w:pPr>
      <w:r w:rsidRPr="00BF1A7D">
        <w:rPr>
          <w:highlight w:val="yellow"/>
        </w:rPr>
        <w:t>Le bénéficiaire a réalisé 5 analyse REH</w:t>
      </w:r>
      <w:r w:rsidR="002C2FE5" w:rsidRPr="00BF1A7D">
        <w:rPr>
          <w:highlight w:val="yellow"/>
        </w:rPr>
        <w:t>, à chaque fois au sein d’</w:t>
      </w:r>
      <w:r w:rsidRPr="00BF1A7D">
        <w:rPr>
          <w:highlight w:val="yellow"/>
        </w:rPr>
        <w:t xml:space="preserve">une parcelle des </w:t>
      </w:r>
      <w:r w:rsidR="002E1184">
        <w:rPr>
          <w:highlight w:val="yellow"/>
        </w:rPr>
        <w:t>successions</w:t>
      </w:r>
      <w:r w:rsidRPr="00BF1A7D">
        <w:rPr>
          <w:highlight w:val="yellow"/>
        </w:rPr>
        <w:t xml:space="preserve"> 1. (REH1), 2. (REH2), 3. (REH3), 5. (REH5) et 6. (REH6), qui correspondent aux principales successions culturales de son assolement. Le calcul du REH exploitation se fait de la façon suivante :</w:t>
      </w:r>
    </w:p>
    <w:p w14:paraId="618CAE41" w14:textId="42089312" w:rsidR="007B5CF3" w:rsidRPr="00BF1A7D" w:rsidRDefault="002C2FE5" w:rsidP="002C2FE5">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+REH6×</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den>
        </m:f>
      </m:oMath>
    </w:p>
    <w:p w14:paraId="261477BC" w14:textId="623E0814" w:rsidR="000B18B7" w:rsidRPr="000B18B7" w:rsidRDefault="002C2FE5" w:rsidP="000B18B7">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REH1×20+REH2×10+ REH3×15+REH5×20+REH6×10</m:t>
            </m:r>
          </m:num>
          <m:den>
            <m:r>
              <w:rPr>
                <w:rFonts w:ascii="Cambria Math" w:hAnsi="Cambria Math"/>
                <w:sz w:val="28"/>
                <w:highlight w:val="yellow"/>
              </w:rPr>
              <m:t>75</m:t>
            </m:r>
          </m:den>
        </m:f>
      </m:oMath>
    </w:p>
    <w:p w14:paraId="63A9915E" w14:textId="5C844484" w:rsidR="000B18B7" w:rsidRPr="000B18B7" w:rsidRDefault="000B18B7" w:rsidP="000B18B7">
      <w:pPr>
        <w:pStyle w:val="Titre2"/>
        <w:rPr>
          <w:rFonts w:eastAsiaTheme="minorHAnsi" w:cstheme="minorBidi"/>
          <w:szCs w:val="22"/>
        </w:rPr>
      </w:pPr>
      <w:r w:rsidRPr="000B18B7">
        <w:rPr>
          <w:rFonts w:eastAsiaTheme="minorHAnsi" w:cstheme="minorBidi"/>
          <w:szCs w:val="22"/>
        </w:rPr>
        <w:t>Réalisation de l’APM et de l’analyse effluent par type d’effluent</w:t>
      </w:r>
    </w:p>
    <w:p w14:paraId="7B3ABD0E" w14:textId="7C9A570F" w:rsidR="000B18B7" w:rsidRDefault="000B18B7" w:rsidP="000B18B7">
      <w:pPr>
        <w:rPr>
          <w:rStyle w:val="hgkelc"/>
        </w:rPr>
      </w:pPr>
      <w:r>
        <w:t xml:space="preserve">L’APM représente l’azote potentiellement </w:t>
      </w:r>
      <w:r w:rsidRPr="00D74F3F">
        <w:t xml:space="preserve">minéralisable. </w:t>
      </w:r>
      <w:r w:rsidRPr="0034760E">
        <w:rPr>
          <w:rStyle w:val="hgkelc"/>
          <w:bCs/>
        </w:rPr>
        <w:t xml:space="preserve">Il s'agit de la valeur d'azote </w:t>
      </w:r>
      <w:r w:rsidR="004E58CF">
        <w:rPr>
          <w:rStyle w:val="hgkelc"/>
          <w:bCs/>
        </w:rPr>
        <w:t xml:space="preserve">issue de la minéralisation de l’azote organique au sein d’une </w:t>
      </w:r>
      <w:r w:rsidRPr="0034760E">
        <w:rPr>
          <w:rStyle w:val="hgkelc"/>
          <w:bCs/>
        </w:rPr>
        <w:t>parcelle</w:t>
      </w:r>
      <w:r w:rsidR="004E58CF">
        <w:rPr>
          <w:rStyle w:val="hgkelc"/>
          <w:bCs/>
        </w:rPr>
        <w:t xml:space="preserve"> </w:t>
      </w:r>
      <w:r w:rsidRPr="0034760E">
        <w:rPr>
          <w:rStyle w:val="hgkelc"/>
          <w:bCs/>
        </w:rPr>
        <w:t>sans</w:t>
      </w:r>
      <w:r w:rsidR="004E58CF">
        <w:rPr>
          <w:rStyle w:val="hgkelc"/>
          <w:bCs/>
        </w:rPr>
        <w:t xml:space="preserve"> aucun</w:t>
      </w:r>
      <w:r w:rsidRPr="0034760E">
        <w:rPr>
          <w:rStyle w:val="hgkelc"/>
          <w:bCs/>
        </w:rPr>
        <w:t xml:space="preserve"> apport azoté extérieur</w:t>
      </w:r>
      <w:r>
        <w:rPr>
          <w:rStyle w:val="hgkelc"/>
        </w:rPr>
        <w:t>. Elle s'exprime en unités d'azote par hectare.</w:t>
      </w:r>
    </w:p>
    <w:p w14:paraId="1773B03C" w14:textId="610BE617" w:rsidR="000B18B7" w:rsidRDefault="000B18B7" w:rsidP="000B18B7">
      <w:pPr>
        <w:rPr>
          <w:rStyle w:val="hgkelc"/>
        </w:rPr>
      </w:pPr>
      <w:r>
        <w:rPr>
          <w:rStyle w:val="hgkelc"/>
        </w:rPr>
        <w:t>L’objectif est ici de disposer d’une vision exhaustive de l’azote potentiellement minéralisable sur l’ensemble des parcelles, en vue de diminuer les apports annuels de fertilisants. Chaque année, 2 analyses de sol de l’APM doivent être réalisées sur 2 parcelles distinctes et différentes de celles réalisées les autres années de l’engagement</w:t>
      </w:r>
      <w:r w:rsidR="00CE75EA">
        <w:rPr>
          <w:rStyle w:val="hgkelc"/>
        </w:rPr>
        <w:t xml:space="preserve"> (sauf si toutes les parcelles ont d’ores et déjà été analysées au cours des années précédentes)</w:t>
      </w:r>
      <w:r>
        <w:rPr>
          <w:rStyle w:val="hgkelc"/>
        </w:rPr>
        <w:t xml:space="preserve">. </w:t>
      </w:r>
      <w:r w:rsidRPr="008125C6">
        <w:rPr>
          <w:rStyle w:val="hgkelc"/>
          <w:highlight w:val="yellow"/>
        </w:rPr>
        <w:t>Ainsi,</w:t>
      </w:r>
      <w:r w:rsidR="00CE75EA">
        <w:rPr>
          <w:rStyle w:val="hgkelc"/>
          <w:highlight w:val="yellow"/>
        </w:rPr>
        <w:t xml:space="preserve"> pour une exploitation ayant plus de 10 parcelles distinctes,</w:t>
      </w:r>
      <w:r w:rsidRPr="008125C6">
        <w:rPr>
          <w:rStyle w:val="hgkelc"/>
          <w:highlight w:val="yellow"/>
        </w:rPr>
        <w:t xml:space="preserve"> </w:t>
      </w:r>
      <w:r w:rsidR="00CE75EA">
        <w:rPr>
          <w:rStyle w:val="hgkelc"/>
          <w:highlight w:val="yellow"/>
        </w:rPr>
        <w:t>10</w:t>
      </w:r>
      <w:r w:rsidRPr="008125C6">
        <w:rPr>
          <w:rStyle w:val="hgkelc"/>
          <w:highlight w:val="yellow"/>
        </w:rPr>
        <w:t xml:space="preserve"> parcelles différentes</w:t>
      </w:r>
      <w:r w:rsidR="00CE75EA">
        <w:rPr>
          <w:rStyle w:val="hgkelc"/>
          <w:highlight w:val="yellow"/>
        </w:rPr>
        <w:t xml:space="preserve"> minimum</w:t>
      </w:r>
      <w:r w:rsidRPr="008125C6">
        <w:rPr>
          <w:rStyle w:val="hgkelc"/>
          <w:highlight w:val="yellow"/>
        </w:rPr>
        <w:t xml:space="preserve"> devront faire l’objet d’analyses APM</w:t>
      </w:r>
      <w:r w:rsidR="00CE75EA">
        <w:rPr>
          <w:rStyle w:val="hgkelc"/>
        </w:rPr>
        <w:t xml:space="preserve"> sur les 5 années d’engagement</w:t>
      </w:r>
      <w:r>
        <w:rPr>
          <w:rStyle w:val="hgkelc"/>
        </w:rPr>
        <w:t>. Ces analyses sont réalisées par des laboratoires.</w:t>
      </w:r>
    </w:p>
    <w:p w14:paraId="4C3CA1DF" w14:textId="4EBB1339" w:rsidR="000B18B7" w:rsidRDefault="000B18B7" w:rsidP="000B18B7">
      <w:pPr>
        <w:rPr>
          <w:rStyle w:val="hgkelc"/>
          <w:rFonts w:eastAsiaTheme="majorEastAsia" w:cstheme="majorBidi"/>
          <w:sz w:val="22"/>
          <w:szCs w:val="26"/>
          <w:u w:val="single"/>
        </w:rPr>
      </w:pPr>
      <w:r>
        <w:rPr>
          <w:rStyle w:val="hgkelc"/>
        </w:rPr>
        <w:t>L’analyse annuelle de chaque type d’effluent (bovins, volailles, porcins,</w:t>
      </w:r>
      <w:r w:rsidR="004E58CF">
        <w:rPr>
          <w:rStyle w:val="hgkelc"/>
        </w:rPr>
        <w:t xml:space="preserve"> </w:t>
      </w:r>
      <w:r>
        <w:rPr>
          <w:rStyle w:val="hgkelc"/>
        </w:rPr>
        <w:t xml:space="preserve">…) consiste en : </w:t>
      </w:r>
    </w:p>
    <w:p w14:paraId="4D1ACB11" w14:textId="3016C081" w:rsidR="000B18B7" w:rsidRPr="0034760E" w:rsidRDefault="000B18B7" w:rsidP="000B18B7">
      <w:pPr>
        <w:pStyle w:val="Paragraphedeliste"/>
        <w:numPr>
          <w:ilvl w:val="0"/>
          <w:numId w:val="36"/>
        </w:numPr>
        <w:rPr>
          <w:szCs w:val="20"/>
        </w:rPr>
      </w:pPr>
      <w:r>
        <w:rPr>
          <w:rFonts w:cs="Arial"/>
          <w:szCs w:val="20"/>
        </w:rPr>
        <w:t>un</w:t>
      </w:r>
      <w:r w:rsidRPr="0034760E">
        <w:rPr>
          <w:rFonts w:cs="Arial"/>
          <w:szCs w:val="20"/>
        </w:rPr>
        <w:t xml:space="preserve"> </w:t>
      </w:r>
      <w:r w:rsidRPr="00D74F3F">
        <w:rPr>
          <w:rFonts w:cs="Arial"/>
          <w:szCs w:val="20"/>
        </w:rPr>
        <w:t>dosage rapide de l'azote ammoniacal des lisiers (Quantofix) juste avant l'épandage, permettant d'ajuster la dose à apporter et ainsi éviter la sur-fertilisation des cultures ;</w:t>
      </w:r>
    </w:p>
    <w:p w14:paraId="17ED29F6" w14:textId="0DA1EF27" w:rsidR="000B18B7" w:rsidRPr="00D74F3F" w:rsidRDefault="000B18B7" w:rsidP="000B18B7">
      <w:pPr>
        <w:pStyle w:val="Paragraphedeliste"/>
        <w:numPr>
          <w:ilvl w:val="0"/>
          <w:numId w:val="36"/>
        </w:numPr>
        <w:rPr>
          <w:szCs w:val="20"/>
        </w:rPr>
      </w:pPr>
      <w:r>
        <w:rPr>
          <w:rFonts w:cs="Arial"/>
          <w:szCs w:val="20"/>
        </w:rPr>
        <w:t xml:space="preserve">une </w:t>
      </w:r>
      <w:r w:rsidRPr="00D74F3F">
        <w:rPr>
          <w:rFonts w:cs="Arial"/>
          <w:szCs w:val="20"/>
        </w:rPr>
        <w:t>analyse complète de fumier</w:t>
      </w:r>
      <w:r w:rsidR="00CE75EA">
        <w:rPr>
          <w:rFonts w:cs="Arial"/>
          <w:szCs w:val="20"/>
        </w:rPr>
        <w:t xml:space="preserve"> </w:t>
      </w:r>
      <w:r w:rsidR="00326679">
        <w:rPr>
          <w:rFonts w:cs="Arial"/>
          <w:szCs w:val="20"/>
        </w:rPr>
        <w:t>afin d’</w:t>
      </w:r>
      <w:r w:rsidRPr="00D74F3F">
        <w:rPr>
          <w:rFonts w:cs="Arial"/>
          <w:szCs w:val="20"/>
        </w:rPr>
        <w:t>affiner la connaissance des effluents d'élevage disponibles sur l'exploitation.</w:t>
      </w:r>
    </w:p>
    <w:p w14:paraId="494418D0" w14:textId="599E5355" w:rsidR="000B18B7" w:rsidRPr="000B18B7" w:rsidRDefault="000B18B7" w:rsidP="000B18B7">
      <w:pPr>
        <w:rPr>
          <w:szCs w:val="20"/>
        </w:rPr>
      </w:pPr>
      <w:r>
        <w:rPr>
          <w:szCs w:val="20"/>
        </w:rPr>
        <w:t>Ces analyses permettent d’ajuster la fertilisation.</w:t>
      </w:r>
    </w:p>
    <w:p w14:paraId="1F3116EF" w14:textId="77777777" w:rsidR="006E1E9D" w:rsidRPr="00AA4FDE" w:rsidRDefault="006E1E9D" w:rsidP="006E1E9D">
      <w:pPr>
        <w:pStyle w:val="Titre2"/>
      </w:pPr>
      <w:r>
        <w:t>Indicateurs de f</w:t>
      </w:r>
      <w:r w:rsidRPr="00AA4FDE">
        <w:t xml:space="preserve">réquence de </w:t>
      </w:r>
      <w:r>
        <w:t>t</w:t>
      </w:r>
      <w:r w:rsidRPr="00AA4FDE">
        <w:t>raitement</w:t>
      </w:r>
      <w:r>
        <w:t>s</w:t>
      </w:r>
      <w:r w:rsidRPr="00AA4FDE">
        <w:t xml:space="preserve"> (IFT) à respecter chaque année</w:t>
      </w:r>
    </w:p>
    <w:p w14:paraId="48CAB48E" w14:textId="182A5E5C" w:rsidR="00E42EF2" w:rsidRDefault="00E42EF2" w:rsidP="00E42EF2">
      <w:r>
        <w:t>Si votre exploitation poss</w:t>
      </w:r>
      <w:r w:rsidR="002C1C9E">
        <w:t>ède 10 UGB herbivores ou moins</w:t>
      </w:r>
      <w:r>
        <w:t>, 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E1E9D" w:rsidRPr="00AA4FDE" w14:paraId="1C5645B5" w14:textId="77777777" w:rsidTr="0080061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57DB8A52" w14:textId="08F836DD" w:rsidR="006E1E9D" w:rsidRPr="007C732F" w:rsidRDefault="006E1E9D" w:rsidP="0080061F">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r w:rsidR="002C1C9E">
              <w:rPr>
                <w:rFonts w:eastAsia="Times New Roman" w:cs="Calibri"/>
                <w:bCs/>
                <w:color w:val="FFFFFF" w:themeColor="background1"/>
                <w:sz w:val="18"/>
                <w:lang w:eastAsia="fr-FR"/>
              </w:rPr>
              <w:t xml:space="preserve"> </w:t>
            </w:r>
            <w:r w:rsidR="002C1C9E">
              <w:rPr>
                <w:rFonts w:eastAsia="Times New Roman" w:cs="Calibri"/>
                <w:b/>
                <w:bCs/>
                <w:color w:val="FFFFFF" w:themeColor="background1"/>
                <w:sz w:val="18"/>
                <w:lang w:eastAsia="fr-FR"/>
              </w:rPr>
              <w:t>– Exploitation de 10 UGB herbivores ou moins (3)</w:t>
            </w:r>
          </w:p>
        </w:tc>
      </w:tr>
      <w:tr w:rsidR="006E1E9D" w:rsidRPr="00AA4FDE" w14:paraId="1C07C583" w14:textId="77777777" w:rsidTr="0080061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4BCE308" w14:textId="77777777" w:rsidR="006E1E9D" w:rsidRPr="007C732F" w:rsidRDefault="006E1E9D" w:rsidP="0080061F">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4D5E7F2D" w14:textId="77777777" w:rsidR="006E1E9D" w:rsidRPr="007C732F" w:rsidRDefault="006E1E9D" w:rsidP="0080061F">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D41AFF3" w14:textId="77777777" w:rsidR="006E1E9D" w:rsidRPr="00AA4FDE" w:rsidRDefault="006E1E9D" w:rsidP="0080061F">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6E1E9D" w:rsidRPr="00AA4FDE" w14:paraId="6AC8102C" w14:textId="77777777" w:rsidTr="0080061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130E9F6" w14:textId="77777777" w:rsidR="006E1E9D" w:rsidRPr="00AA4FDE" w:rsidRDefault="006E1E9D" w:rsidP="0080061F">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C8C651F"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1103FB0"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57680C4B"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DAC6C6A"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6E1E9D" w:rsidRPr="00AA4FDE" w14:paraId="69264A0D"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82156E2"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20EC8FC"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C413DD2"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0DED65B4"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76357A5" w14:textId="77777777" w:rsidR="006E1E9D" w:rsidRPr="00AA4FDE" w:rsidRDefault="006E1E9D"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6E1E9D" w:rsidRPr="00AA4FDE" w14:paraId="6F6C7330"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CF3D140"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0AF801C" w14:textId="77777777" w:rsidR="006E1E9D" w:rsidRDefault="006E1E9D" w:rsidP="0080061F">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57D26F63" w14:textId="1B2D4D4B" w:rsidR="006E1E9D" w:rsidRPr="00AA4FDE" w:rsidRDefault="006E1E9D" w:rsidP="009C2134">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w:t>
            </w:r>
            <w:r w:rsidR="009C2134">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F08122A" w14:textId="656C1C77" w:rsidR="006E1E9D" w:rsidRPr="00AA4FDE" w:rsidRDefault="006E1E9D" w:rsidP="009C2134">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9C2134">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3ADAFFF"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945A234"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50ED7CD" w14:textId="77777777" w:rsidTr="0080061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E8BF186"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49BD6989" w14:textId="0183E63D" w:rsidR="006E1E9D" w:rsidRPr="00AA4FDE" w:rsidRDefault="00E975FA"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6E1E9D">
              <w:rPr>
                <w:rFonts w:eastAsia="Times New Roman" w:cs="Calibri"/>
                <w:bCs/>
                <w:i/>
                <w:sz w:val="18"/>
                <w:highlight w:val="yellow"/>
                <w:lang w:eastAsia="fr-FR"/>
              </w:rPr>
              <w:t>0</w:t>
            </w:r>
            <w:r w:rsidR="006E1E9D">
              <w:rPr>
                <w:rFonts w:eastAsia="Times New Roman" w:cs="Calibri"/>
                <w:bCs/>
                <w:i/>
                <w:sz w:val="18"/>
                <w:highlight w:val="yellow"/>
                <w:vertAlign w:val="superscript"/>
                <w:lang w:eastAsia="fr-FR"/>
              </w:rPr>
              <w:t>e</w:t>
            </w:r>
            <w:r w:rsidR="006E1E9D">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2868E08" w14:textId="2B51CE66" w:rsidR="006E1E9D" w:rsidRPr="00AA4FDE" w:rsidRDefault="006E1E9D" w:rsidP="00E975FA">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E975FA">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F037389" w14:textId="77777777" w:rsidR="006E1E9D" w:rsidRPr="00AA4FDE" w:rsidRDefault="006E1E9D" w:rsidP="0080061F">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2745C89"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3665F17D" w14:textId="77777777" w:rsidTr="009C213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57999C2"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450C697D" w14:textId="38B3E4B2"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0837BB3A" w14:textId="3E49D783"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D16593D"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3D6A69B4"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6E1E9D" w:rsidRPr="00AA4FDE" w14:paraId="0E1FF850" w14:textId="77777777" w:rsidTr="009C213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EE0CBE" w14:textId="77777777" w:rsidR="006E1E9D" w:rsidRPr="00AA4FDE" w:rsidRDefault="006E1E9D" w:rsidP="0080061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6A6BC809" w14:textId="6B7946D4"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43E5FA94" w14:textId="0F15A3D3" w:rsidR="006E1E9D" w:rsidRPr="009C2134" w:rsidRDefault="009C2134" w:rsidP="009C2134">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8CADC86"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97AFBF0" w14:textId="77777777" w:rsidR="006E1E9D" w:rsidRPr="00AA4FDE" w:rsidRDefault="006E1E9D"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7B85CB88" w14:textId="0681CA1D" w:rsidR="006E1E9D" w:rsidRDefault="006E1E9D" w:rsidP="006E1E9D"/>
    <w:p w14:paraId="0CA12680" w14:textId="2DC38386" w:rsidR="00E42EF2" w:rsidRPr="00AA4FDE" w:rsidRDefault="00E42EF2" w:rsidP="00E42EF2">
      <w:r>
        <w:t>Si votre exploitation possède strictement plus de 10 UGB herbivores, l</w:t>
      </w:r>
      <w:r w:rsidRPr="00AA4FDE">
        <w:t>’IFT herbicide</w:t>
      </w:r>
      <w:r>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42EF2" w:rsidRPr="00AA4FDE" w14:paraId="1CEA6B33" w14:textId="77777777" w:rsidTr="0080061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095F025D" w14:textId="569E499B" w:rsidR="00E42EF2" w:rsidRPr="007C732F" w:rsidRDefault="00E42EF2" w:rsidP="0080061F">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r w:rsidR="002C1C9E">
              <w:rPr>
                <w:rFonts w:eastAsia="Times New Roman" w:cs="Calibri"/>
                <w:bCs/>
                <w:color w:val="FFFFFF" w:themeColor="background1"/>
                <w:sz w:val="18"/>
                <w:lang w:eastAsia="fr-FR"/>
              </w:rPr>
              <w:t xml:space="preserve"> </w:t>
            </w:r>
            <w:r w:rsidR="002C1C9E">
              <w:rPr>
                <w:rFonts w:eastAsia="Times New Roman" w:cs="Calibri"/>
                <w:b/>
                <w:bCs/>
                <w:color w:val="FFFFFF" w:themeColor="background1"/>
                <w:sz w:val="18"/>
                <w:lang w:eastAsia="fr-FR"/>
              </w:rPr>
              <w:t>– Exploitation de strictement plus de 10 UGB herbivores (3)</w:t>
            </w:r>
          </w:p>
        </w:tc>
      </w:tr>
      <w:tr w:rsidR="00E42EF2" w:rsidRPr="00AA4FDE" w14:paraId="69ECE207" w14:textId="77777777" w:rsidTr="0080061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681F4CF4" w14:textId="77777777" w:rsidR="00E42EF2" w:rsidRPr="007C732F" w:rsidRDefault="00E42EF2" w:rsidP="0080061F">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3D82D25" w14:textId="77777777" w:rsidR="00E42EF2" w:rsidRPr="007C732F" w:rsidRDefault="00E42EF2" w:rsidP="0080061F">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6748AB9F" w14:textId="77777777" w:rsidR="00E42EF2" w:rsidRPr="00AA4FDE" w:rsidRDefault="00E42EF2" w:rsidP="0080061F">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E42EF2" w:rsidRPr="00AA4FDE" w14:paraId="6F63AF54" w14:textId="77777777" w:rsidTr="0080061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FA81CA1" w14:textId="77777777" w:rsidR="00E42EF2" w:rsidRPr="00AA4FDE" w:rsidRDefault="00E42EF2" w:rsidP="0080061F">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F5F3085"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1D52499"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18E9E9F6"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0C136E4"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E42EF2" w:rsidRPr="00AA4FDE" w14:paraId="0EE38C6C"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E4A15EF"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B386BBB"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1E89D315"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2873808E"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72179CB4" w14:textId="77777777" w:rsidR="00E42EF2" w:rsidRPr="00AA4FDE" w:rsidRDefault="00E42EF2" w:rsidP="0080061F">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E42EF2" w:rsidRPr="00AA4FDE" w14:paraId="6D3B54CF" w14:textId="77777777" w:rsidTr="0080061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A8EB56B"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5FD2ADD3" w14:textId="77777777" w:rsidR="00E42EF2" w:rsidRDefault="00E42EF2" w:rsidP="0080061F">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30635D55" w14:textId="77777777" w:rsidR="00E42EF2" w:rsidRPr="00AA4FDE" w:rsidRDefault="00E42EF2" w:rsidP="0080061F">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F004C02"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7970E986"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BBBC32B"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42EF2" w:rsidRPr="00AA4FDE" w14:paraId="3766C7D7" w14:textId="77777777" w:rsidTr="0080061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3183B6"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E968FFE"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311EE9ED" w14:textId="77777777" w:rsidR="00E42EF2" w:rsidRPr="00AA4FDE" w:rsidRDefault="00E42EF2" w:rsidP="0080061F">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A00FD19" w14:textId="77777777" w:rsidR="00E42EF2" w:rsidRPr="00AA4FDE" w:rsidRDefault="00E42EF2" w:rsidP="0080061F">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2FA4CF2"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42EF2" w:rsidRPr="00AA4FDE" w14:paraId="3F966956" w14:textId="77777777" w:rsidTr="0080061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D0D5A78"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0454A5DC"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3E6B8A91"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EAFA582"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736D34FB"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42EF2" w:rsidRPr="00AA4FDE" w14:paraId="02DCAF3A" w14:textId="77777777" w:rsidTr="0080061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853CE4E" w14:textId="77777777" w:rsidR="00E42EF2" w:rsidRPr="00AA4FDE" w:rsidRDefault="00E42EF2" w:rsidP="0080061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121E3372"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BA85D3B" w14:textId="77777777" w:rsidR="00E42EF2" w:rsidRPr="009C2134" w:rsidRDefault="00E42EF2" w:rsidP="0080061F">
            <w:pPr>
              <w:spacing w:after="0" w:line="240" w:lineRule="auto"/>
              <w:jc w:val="center"/>
              <w:rPr>
                <w:rFonts w:eastAsia="Times New Roman" w:cs="Calibri"/>
                <w:b/>
                <w:bCs/>
                <w:sz w:val="18"/>
                <w:lang w:eastAsia="fr-FR"/>
              </w:rPr>
            </w:pPr>
            <w:r>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D587A"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1C083B6E" w14:textId="77777777" w:rsidR="00E42EF2" w:rsidRPr="00AA4FDE" w:rsidRDefault="00E42EF2" w:rsidP="0080061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3C337953" w14:textId="77777777" w:rsidR="00E42EF2" w:rsidRPr="00AA4FDE" w:rsidRDefault="00E42EF2" w:rsidP="006E1E9D"/>
    <w:p w14:paraId="56DE22A1" w14:textId="77777777" w:rsidR="006E1E9D" w:rsidRDefault="006E1E9D" w:rsidP="006E1E9D">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22E36F01" w14:textId="77777777" w:rsidR="006E1E9D" w:rsidRDefault="006E1E9D" w:rsidP="006E1E9D">
      <w:pPr>
        <w:spacing w:after="0"/>
      </w:pPr>
      <w:r>
        <w:t xml:space="preserve">- « Céréales et pseudo-céréales » (catégorie 1.1), </w:t>
      </w:r>
    </w:p>
    <w:p w14:paraId="0A263E27" w14:textId="77777777" w:rsidR="006E1E9D" w:rsidRDefault="006E1E9D" w:rsidP="006E1E9D">
      <w:pPr>
        <w:spacing w:after="0"/>
      </w:pPr>
      <w:r>
        <w:t xml:space="preserve">- « Oléagineux » (catégorie 1.2), </w:t>
      </w:r>
    </w:p>
    <w:p w14:paraId="782B07E6" w14:textId="77777777" w:rsidR="006E1E9D" w:rsidRDefault="006E1E9D" w:rsidP="006E1E9D">
      <w:pPr>
        <w:spacing w:after="0"/>
      </w:pPr>
      <w:r>
        <w:t>- « Légumineuses à graines et fourragères » (catégorie 1.3),</w:t>
      </w:r>
    </w:p>
    <w:p w14:paraId="25DB096D" w14:textId="77777777" w:rsidR="006E1E9D" w:rsidRDefault="006E1E9D" w:rsidP="006E1E9D">
      <w:pPr>
        <w:spacing w:after="0"/>
      </w:pPr>
      <w:r>
        <w:t xml:space="preserve">- « Surfaces herbacées temporaires et mélanges avec graminées » (catégorie 1.5), </w:t>
      </w:r>
    </w:p>
    <w:p w14:paraId="5F0572A3" w14:textId="77777777" w:rsidR="006E1E9D" w:rsidRDefault="006E1E9D" w:rsidP="006E1E9D">
      <w:pPr>
        <w:spacing w:after="0"/>
      </w:pPr>
      <w:r>
        <w:t xml:space="preserve">- les mélanges multi-espèces sans graminées prairiales (codes MPC, MLC, CPL) de la catégorie « 1.4 Cultures associées », </w:t>
      </w:r>
    </w:p>
    <w:p w14:paraId="6F0BC176" w14:textId="77777777" w:rsidR="006E1E9D" w:rsidRPr="00D1071E" w:rsidRDefault="006E1E9D" w:rsidP="006E1E9D">
      <w:pPr>
        <w:spacing w:after="0"/>
      </w:pPr>
      <w:r w:rsidRPr="00D1071E">
        <w:t>- le chanvre (CHV), le lin fibres (LIF), le tabac (TAB) et la betterave (BTN), sauf avec la précision « Betterave potagère »,</w:t>
      </w:r>
    </w:p>
    <w:p w14:paraId="3109BB70" w14:textId="77777777" w:rsidR="006E1E9D" w:rsidRDefault="006E1E9D" w:rsidP="006E1E9D">
      <w:pPr>
        <w:spacing w:after="0"/>
      </w:pPr>
      <w:r w:rsidRPr="00D1071E">
        <w:t>- le code « Autre plante fourragère annuelle (ni légumineuse, ni graminée, ni</w:t>
      </w:r>
      <w:r>
        <w:t xml:space="preserve"> céréale, ni oléagineux) (</w:t>
      </w:r>
      <w:r w:rsidRPr="00D1071E">
        <w:t>A</w:t>
      </w:r>
      <w:r>
        <w:t>F</w:t>
      </w:r>
      <w:r w:rsidRPr="00D1071E">
        <w:t>G) de la catégorie 1.11 « Autres surfaces admissibles ».</w:t>
      </w:r>
    </w:p>
    <w:p w14:paraId="5D687CFF" w14:textId="77777777" w:rsidR="006E1E9D" w:rsidRDefault="006E1E9D" w:rsidP="006E1E9D">
      <w:pPr>
        <w:spacing w:after="0"/>
      </w:pPr>
    </w:p>
    <w:p w14:paraId="0C901D27" w14:textId="77777777" w:rsidR="006E1E9D" w:rsidRDefault="006E1E9D" w:rsidP="006E1E9D">
      <w:pPr>
        <w:spacing w:after="0"/>
        <w:rPr>
          <w:sz w:val="10"/>
          <w:szCs w:val="10"/>
        </w:rPr>
      </w:pPr>
    </w:p>
    <w:p w14:paraId="0FBB24D5" w14:textId="77777777" w:rsidR="006E1E9D" w:rsidRDefault="006E1E9D" w:rsidP="006E1E9D">
      <w:pPr>
        <w:spacing w:after="0"/>
      </w:pPr>
      <w:r>
        <w:t xml:space="preserve">(2) Les cultures prises en compte dans la catégorie « Pommes de terre et cultures légumières » sont toutes les catégories ou codes suivants de la notice télépac « Liste des cultures et précisions »:  </w:t>
      </w:r>
    </w:p>
    <w:p w14:paraId="1980B3AE" w14:textId="77777777" w:rsidR="006E1E9D" w:rsidRDefault="006E1E9D" w:rsidP="006E1E9D">
      <w:pPr>
        <w:spacing w:after="0"/>
      </w:pPr>
      <w:r>
        <w:t xml:space="preserve">- les pommes de terres (PTC), </w:t>
      </w:r>
    </w:p>
    <w:p w14:paraId="7979EBCE" w14:textId="77777777" w:rsidR="006E1E9D" w:rsidRDefault="006E1E9D" w:rsidP="006E1E9D">
      <w:pPr>
        <w:spacing w:after="0"/>
      </w:pPr>
      <w:r>
        <w:t>- le maraîchage diversifié (MDI),</w:t>
      </w:r>
    </w:p>
    <w:p w14:paraId="5558369F" w14:textId="77777777" w:rsidR="006E1E9D" w:rsidRDefault="006E1E9D" w:rsidP="006E1E9D">
      <w:pPr>
        <w:spacing w:after="0"/>
      </w:pPr>
      <w:r w:rsidRPr="00D1071E">
        <w:t>- la betterave potagère (code BTN avec précision « Betterave potagère »),</w:t>
      </w:r>
    </w:p>
    <w:p w14:paraId="3434441C" w14:textId="77777777" w:rsidR="006E1E9D" w:rsidRPr="00A02BFA" w:rsidRDefault="006E1E9D" w:rsidP="006E1E9D">
      <w:pPr>
        <w:spacing w:after="0"/>
      </w:pPr>
      <w:r>
        <w:t xml:space="preserve">- toutes les cultures classées en terres arables « TA » des catégories « Légumes et fruits » </w:t>
      </w:r>
      <w:r w:rsidRPr="00A02BFA">
        <w:t>(catégorie 1.8) et « Plantes à parfum, aromatiques et médicinales » (catégorie 1.10),</w:t>
      </w:r>
    </w:p>
    <w:p w14:paraId="5425B18D" w14:textId="0FD5FA99" w:rsidR="006E1E9D" w:rsidRDefault="006E1E9D" w:rsidP="006E1E9D">
      <w:pPr>
        <w:spacing w:after="0"/>
      </w:pPr>
      <w:r w:rsidRPr="00A02BFA">
        <w:t>- les cultures conduites en interrangs (CID et CIT), à condition qu’au moins une des cultures renseignées corresponde bien aux codes cités ci-dessus de cette catégorie (2), et que l’ensemble de la parcelle reste classé en terres arables.</w:t>
      </w:r>
    </w:p>
    <w:p w14:paraId="1EFB80FF" w14:textId="66B6EF5A" w:rsidR="00E42EF2" w:rsidRDefault="00E42EF2" w:rsidP="006E1E9D">
      <w:pPr>
        <w:spacing w:after="0"/>
      </w:pPr>
    </w:p>
    <w:p w14:paraId="19946BB1" w14:textId="77777777" w:rsidR="00E42EF2" w:rsidRPr="00AA4FDE" w:rsidRDefault="00E42EF2" w:rsidP="00E42EF2">
      <w:pPr>
        <w:spacing w:before="100" w:beforeAutospacing="1" w:after="0" w:line="240" w:lineRule="auto"/>
        <w:rPr>
          <w:rFonts w:eastAsia="Times New Roman" w:cs="Calibri"/>
          <w:szCs w:val="24"/>
          <w:lang w:eastAsia="fr-FR"/>
        </w:rPr>
      </w:pPr>
      <w:r>
        <w:rPr>
          <w:rFonts w:eastAsia="Times New Roman" w:cs="Calibri"/>
          <w:szCs w:val="24"/>
          <w:lang w:eastAsia="fr-FR"/>
        </w:rPr>
        <w:t xml:space="preserve">(3) </w:t>
      </w: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 :</w:t>
      </w:r>
    </w:p>
    <w:p w14:paraId="6DF4255D" w14:textId="77777777" w:rsidR="00E42EF2" w:rsidRPr="00AA4FDE" w:rsidRDefault="00E42EF2" w:rsidP="00E42EF2">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E42EF2" w:rsidRPr="00AA4FDE" w14:paraId="750EC3EF" w14:textId="77777777" w:rsidTr="0080061F">
        <w:tc>
          <w:tcPr>
            <w:tcW w:w="4106" w:type="dxa"/>
            <w:shd w:val="clear" w:color="auto" w:fill="DEEAF6" w:themeFill="accent1" w:themeFillTint="33"/>
            <w:vAlign w:val="center"/>
          </w:tcPr>
          <w:p w14:paraId="4A4A463D"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1E7569E7"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196C914C"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E42EF2" w:rsidRPr="00AA4FDE" w14:paraId="0E4D0663" w14:textId="77777777" w:rsidTr="0080061F">
        <w:tc>
          <w:tcPr>
            <w:tcW w:w="4106" w:type="dxa"/>
            <w:vAlign w:val="center"/>
          </w:tcPr>
          <w:p w14:paraId="527F91EC" w14:textId="77777777" w:rsidR="00E42EF2" w:rsidRPr="00AA4FDE" w:rsidRDefault="00E42EF2" w:rsidP="0080061F">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030DEC5F"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48319FA0" w14:textId="77777777" w:rsidR="00E42EF2" w:rsidRPr="00AA4FDE" w:rsidRDefault="00E42EF2" w:rsidP="0080061F">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sur les 12 mois précédant la date limite de dépôt </w:t>
            </w:r>
            <w:r>
              <w:rPr>
                <w:rFonts w:eastAsia="Times New Roman" w:cs="Calibri"/>
                <w:szCs w:val="24"/>
                <w:lang w:eastAsia="fr-FR"/>
              </w:rPr>
              <w:t>des dossiers PAC</w:t>
            </w:r>
            <w:r w:rsidRPr="00AA4FDE">
              <w:rPr>
                <w:rFonts w:eastAsia="Times New Roman" w:cs="Calibri"/>
                <w:szCs w:val="24"/>
                <w:lang w:eastAsia="fr-FR"/>
              </w:rPr>
              <w:t>.</w:t>
            </w:r>
            <w:r w:rsidRPr="00AA4FDE">
              <w:rPr>
                <w:rFonts w:eastAsia="Times New Roman" w:cs="Calibri"/>
                <w:szCs w:val="24"/>
                <w:lang w:eastAsia="fr-FR"/>
              </w:rPr>
              <w:br/>
            </w:r>
            <w:r w:rsidRPr="00AA4FDE">
              <w:rPr>
                <w:rFonts w:eastAsia="Times New Roman" w:cs="Calibri"/>
                <w:sz w:val="14"/>
                <w:szCs w:val="16"/>
                <w:lang w:eastAsia="fr-FR"/>
              </w:rPr>
              <w:t xml:space="preserve"> </w:t>
            </w:r>
          </w:p>
          <w:p w14:paraId="32C58FED" w14:textId="77777777" w:rsidR="00E42EF2" w:rsidRPr="00AA4FDE" w:rsidRDefault="00E42EF2" w:rsidP="0080061F">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602F368F" w14:textId="77777777" w:rsidR="00E42EF2" w:rsidRPr="00AA4FDE" w:rsidRDefault="00E42EF2" w:rsidP="0080061F">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E42EF2" w:rsidRPr="00AA4FDE" w14:paraId="0F1E2421" w14:textId="77777777" w:rsidTr="0080061F">
        <w:tc>
          <w:tcPr>
            <w:tcW w:w="4106" w:type="dxa"/>
            <w:vAlign w:val="center"/>
          </w:tcPr>
          <w:p w14:paraId="3BFAAFCC" w14:textId="77777777" w:rsidR="00E42EF2" w:rsidRPr="00AA4FDE" w:rsidRDefault="00E42EF2" w:rsidP="0080061F">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1B3708EB"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295DD0C0"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0D5E3286" w14:textId="77777777" w:rsidTr="0080061F">
        <w:tc>
          <w:tcPr>
            <w:tcW w:w="4106" w:type="dxa"/>
            <w:vAlign w:val="center"/>
          </w:tcPr>
          <w:p w14:paraId="125CB951" w14:textId="77777777" w:rsidR="00E42EF2" w:rsidRPr="00AA4FDE" w:rsidRDefault="00E42EF2" w:rsidP="0080061F">
            <w:pPr>
              <w:spacing w:before="100" w:beforeAutospacing="1"/>
              <w:jc w:val="left"/>
              <w:rPr>
                <w:rFonts w:eastAsia="Times New Roman" w:cs="Calibri"/>
                <w:szCs w:val="24"/>
                <w:lang w:eastAsia="fr-FR"/>
              </w:rPr>
            </w:pPr>
            <w:r w:rsidRPr="00AA4FDE">
              <w:t>Bovins de moins de 6 mois</w:t>
            </w:r>
          </w:p>
        </w:tc>
        <w:tc>
          <w:tcPr>
            <w:tcW w:w="1092" w:type="dxa"/>
            <w:vAlign w:val="center"/>
          </w:tcPr>
          <w:p w14:paraId="0A3E1C2A"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0BCB3288"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49F89FA2" w14:textId="77777777" w:rsidTr="0080061F">
        <w:tc>
          <w:tcPr>
            <w:tcW w:w="4106" w:type="dxa"/>
            <w:vAlign w:val="center"/>
          </w:tcPr>
          <w:p w14:paraId="71C4EB1C" w14:textId="77777777" w:rsidR="00E42EF2" w:rsidRPr="00AA4FDE" w:rsidRDefault="00E42EF2" w:rsidP="0080061F">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2A7C865D"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63B5490" w14:textId="77777777" w:rsidR="00E42EF2" w:rsidRPr="00AA4FDE" w:rsidRDefault="00E42EF2" w:rsidP="0080061F">
            <w:pPr>
              <w:autoSpaceDE w:val="0"/>
              <w:autoSpaceDN w:val="0"/>
              <w:adjustRightInd w:val="0"/>
              <w:jc w:val="center"/>
              <w:rPr>
                <w:rFonts w:cs="Calibri"/>
                <w:lang w:bidi="he-IL"/>
              </w:rPr>
            </w:pPr>
            <w:r w:rsidRPr="00AA4FDE">
              <w:rPr>
                <w:rFonts w:cs="Calibri"/>
                <w:lang w:bidi="he-IL"/>
              </w:rPr>
              <w:t>30 jours consécutifs incluant le 31 mars de l’année n.</w:t>
            </w:r>
          </w:p>
          <w:p w14:paraId="2D27C353" w14:textId="77777777" w:rsidR="00E42EF2" w:rsidRPr="00AA4FDE" w:rsidRDefault="00E42EF2" w:rsidP="0080061F">
            <w:pPr>
              <w:autoSpaceDE w:val="0"/>
              <w:autoSpaceDN w:val="0"/>
              <w:adjustRightInd w:val="0"/>
              <w:jc w:val="center"/>
              <w:rPr>
                <w:rFonts w:cs="Calibri"/>
                <w:sz w:val="10"/>
                <w:lang w:bidi="he-IL"/>
              </w:rPr>
            </w:pPr>
            <w:r w:rsidRPr="00AA4FDE">
              <w:rPr>
                <w:rFonts w:cs="Calibri"/>
                <w:sz w:val="10"/>
                <w:lang w:bidi="he-IL"/>
              </w:rPr>
              <w:t xml:space="preserve"> </w:t>
            </w:r>
          </w:p>
          <w:p w14:paraId="697D04AB" w14:textId="77777777" w:rsidR="00E42EF2" w:rsidRPr="00AA4FDE" w:rsidRDefault="00E42EF2" w:rsidP="0080061F">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Pr>
                <w:rFonts w:cs="Calibri"/>
                <w:lang w:bidi="he-IL"/>
              </w:rPr>
              <w:t>les animaux</w:t>
            </w:r>
            <w:r w:rsidRPr="00AA4FDE">
              <w:rPr>
                <w:rFonts w:cs="Calibri"/>
                <w:lang w:bidi="he-IL"/>
              </w:rPr>
              <w:t xml:space="preserve"> sont présents sur l'exploitation.</w:t>
            </w:r>
          </w:p>
          <w:p w14:paraId="7C28F2D4" w14:textId="77777777" w:rsidR="00E42EF2" w:rsidRPr="00AA4FDE" w:rsidRDefault="00E42EF2" w:rsidP="0080061F">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E42EF2" w:rsidRPr="00AA4FDE" w14:paraId="767836DE" w14:textId="77777777" w:rsidTr="0080061F">
        <w:tc>
          <w:tcPr>
            <w:tcW w:w="4106" w:type="dxa"/>
            <w:vAlign w:val="center"/>
          </w:tcPr>
          <w:p w14:paraId="6210E3FD" w14:textId="77777777" w:rsidR="00E42EF2" w:rsidRPr="00AA4FDE" w:rsidRDefault="00E42EF2" w:rsidP="0080061F">
            <w:pPr>
              <w:spacing w:before="100" w:beforeAutospacing="1"/>
              <w:jc w:val="left"/>
              <w:rPr>
                <w:rFonts w:eastAsia="Times New Roman" w:cs="Calibri"/>
                <w:szCs w:val="24"/>
                <w:lang w:eastAsia="fr-FR"/>
              </w:rPr>
            </w:pPr>
            <w:r w:rsidRPr="00AA4FDE">
              <w:t>Ov</w:t>
            </w:r>
            <w:r>
              <w:t>ins et caprins de plus de 1 an et femelles de moins de 1 an ayant mis bas</w:t>
            </w:r>
          </w:p>
        </w:tc>
        <w:tc>
          <w:tcPr>
            <w:tcW w:w="1092" w:type="dxa"/>
            <w:vAlign w:val="center"/>
          </w:tcPr>
          <w:p w14:paraId="3D074E75"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5C59A768"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679E7761" w14:textId="77777777" w:rsidTr="0080061F">
        <w:tc>
          <w:tcPr>
            <w:tcW w:w="4106" w:type="dxa"/>
            <w:vAlign w:val="center"/>
          </w:tcPr>
          <w:p w14:paraId="7CDDC6AD" w14:textId="77777777" w:rsidR="00E42EF2" w:rsidRPr="00AA4FDE" w:rsidRDefault="00E42EF2" w:rsidP="0080061F">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631BC791"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3BC3F518"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6C9A1743" w14:textId="77777777" w:rsidTr="0080061F">
        <w:tc>
          <w:tcPr>
            <w:tcW w:w="4106" w:type="dxa"/>
            <w:vAlign w:val="center"/>
          </w:tcPr>
          <w:p w14:paraId="4556A007" w14:textId="77777777" w:rsidR="00E42EF2" w:rsidRPr="00AA4FDE" w:rsidRDefault="00E42EF2" w:rsidP="0080061F">
            <w:pPr>
              <w:spacing w:before="100" w:beforeAutospacing="1"/>
              <w:jc w:val="left"/>
              <w:rPr>
                <w:rFonts w:eastAsia="Times New Roman" w:cs="Calibri"/>
                <w:szCs w:val="24"/>
                <w:lang w:eastAsia="fr-FR"/>
              </w:rPr>
            </w:pPr>
            <w:r w:rsidRPr="00AA4FDE">
              <w:t>Lamas de plus de 2 ans</w:t>
            </w:r>
          </w:p>
        </w:tc>
        <w:tc>
          <w:tcPr>
            <w:tcW w:w="1092" w:type="dxa"/>
            <w:vAlign w:val="center"/>
          </w:tcPr>
          <w:p w14:paraId="2745F394"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419E2FBC"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10B42AD0" w14:textId="77777777" w:rsidTr="0080061F">
        <w:tc>
          <w:tcPr>
            <w:tcW w:w="4106" w:type="dxa"/>
            <w:vAlign w:val="center"/>
          </w:tcPr>
          <w:p w14:paraId="6E7B489E" w14:textId="77777777" w:rsidR="00E42EF2" w:rsidRPr="00AA4FDE" w:rsidRDefault="00E42EF2" w:rsidP="0080061F">
            <w:pPr>
              <w:spacing w:before="100" w:beforeAutospacing="1"/>
              <w:jc w:val="left"/>
            </w:pPr>
            <w:r w:rsidRPr="00AA4FDE">
              <w:t>Alpagas de plus de 2 ans</w:t>
            </w:r>
          </w:p>
        </w:tc>
        <w:tc>
          <w:tcPr>
            <w:tcW w:w="1092" w:type="dxa"/>
            <w:vAlign w:val="center"/>
          </w:tcPr>
          <w:p w14:paraId="0A9DC92B"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623B1C29"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1CC36D5F" w14:textId="77777777" w:rsidTr="0080061F">
        <w:tc>
          <w:tcPr>
            <w:tcW w:w="4106" w:type="dxa"/>
            <w:vAlign w:val="center"/>
          </w:tcPr>
          <w:p w14:paraId="6ADB1FD6" w14:textId="77777777" w:rsidR="00E42EF2" w:rsidRPr="00AA4FDE" w:rsidRDefault="00E42EF2" w:rsidP="0080061F">
            <w:pPr>
              <w:spacing w:before="100" w:beforeAutospacing="1"/>
              <w:jc w:val="left"/>
            </w:pPr>
            <w:r w:rsidRPr="00AA4FDE">
              <w:t>Cerfs et biches de plus de 2 ans</w:t>
            </w:r>
          </w:p>
        </w:tc>
        <w:tc>
          <w:tcPr>
            <w:tcW w:w="1092" w:type="dxa"/>
            <w:vAlign w:val="center"/>
          </w:tcPr>
          <w:p w14:paraId="7361505F"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7755419F" w14:textId="77777777" w:rsidR="00E42EF2" w:rsidRPr="00AA4FDE" w:rsidRDefault="00E42EF2" w:rsidP="0080061F">
            <w:pPr>
              <w:spacing w:before="100" w:beforeAutospacing="1"/>
              <w:jc w:val="center"/>
              <w:rPr>
                <w:rFonts w:eastAsia="Times New Roman" w:cs="Calibri"/>
                <w:szCs w:val="24"/>
                <w:lang w:eastAsia="fr-FR"/>
              </w:rPr>
            </w:pPr>
          </w:p>
        </w:tc>
      </w:tr>
      <w:tr w:rsidR="00E42EF2" w:rsidRPr="00AA4FDE" w14:paraId="45DAD7D7" w14:textId="77777777" w:rsidTr="0080061F">
        <w:tc>
          <w:tcPr>
            <w:tcW w:w="4106" w:type="dxa"/>
            <w:vAlign w:val="center"/>
          </w:tcPr>
          <w:p w14:paraId="10478BB0" w14:textId="77777777" w:rsidR="00E42EF2" w:rsidRPr="00AA4FDE" w:rsidRDefault="00E42EF2" w:rsidP="0080061F">
            <w:pPr>
              <w:spacing w:before="100" w:beforeAutospacing="1"/>
              <w:jc w:val="left"/>
            </w:pPr>
            <w:r w:rsidRPr="00AA4FDE">
              <w:t>Daims et daines de plus de 2 ans</w:t>
            </w:r>
          </w:p>
        </w:tc>
        <w:tc>
          <w:tcPr>
            <w:tcW w:w="1092" w:type="dxa"/>
            <w:vAlign w:val="center"/>
          </w:tcPr>
          <w:p w14:paraId="23C69EEE" w14:textId="77777777" w:rsidR="00E42EF2" w:rsidRPr="00AA4FDE" w:rsidRDefault="00E42EF2" w:rsidP="0080061F">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15CBC896" w14:textId="77777777" w:rsidR="00E42EF2" w:rsidRPr="00AA4FDE" w:rsidRDefault="00E42EF2" w:rsidP="0080061F">
            <w:pPr>
              <w:spacing w:before="100" w:beforeAutospacing="1"/>
              <w:jc w:val="center"/>
              <w:rPr>
                <w:rFonts w:eastAsia="Times New Roman" w:cs="Calibri"/>
                <w:szCs w:val="24"/>
                <w:lang w:eastAsia="fr-FR"/>
              </w:rPr>
            </w:pPr>
          </w:p>
        </w:tc>
      </w:tr>
    </w:tbl>
    <w:p w14:paraId="7461B154" w14:textId="77777777" w:rsidR="006E1E9D" w:rsidRPr="00AA4FDE" w:rsidRDefault="006E1E9D" w:rsidP="006E1E9D">
      <w:pPr>
        <w:pStyle w:val="Titre2"/>
      </w:pPr>
      <w:r w:rsidRPr="00AA4FDE">
        <w:t>Réalisation du bilan de l’Indicateur de fréquence de traitement</w:t>
      </w:r>
      <w:r>
        <w:t>s</w:t>
      </w:r>
      <w:r w:rsidRPr="00AA4FDE">
        <w:t xml:space="preserve"> (IFT)</w:t>
      </w:r>
    </w:p>
    <w:p w14:paraId="62DCDC86" w14:textId="77777777" w:rsidR="006E1E9D" w:rsidRPr="00AA4FDE" w:rsidRDefault="006E1E9D" w:rsidP="006E1E9D"/>
    <w:p w14:paraId="4E04E801" w14:textId="77777777" w:rsidR="006E1E9D" w:rsidRPr="00AA4FDE" w:rsidRDefault="006E1E9D" w:rsidP="006E1E9D">
      <w:pPr>
        <w:pStyle w:val="Paragraphedeliste"/>
        <w:numPr>
          <w:ilvl w:val="0"/>
          <w:numId w:val="13"/>
        </w:numPr>
        <w:rPr>
          <w:b/>
          <w:u w:val="single"/>
        </w:rPr>
      </w:pPr>
      <w:r w:rsidRPr="00AA4FDE">
        <w:rPr>
          <w:b/>
          <w:u w:val="single"/>
        </w:rPr>
        <w:t>Organisme à contacter pour la réalisation des bilans accompagnés</w:t>
      </w:r>
    </w:p>
    <w:p w14:paraId="2D455AB6" w14:textId="77777777" w:rsidR="006E1E9D" w:rsidRPr="00AA4FDE" w:rsidRDefault="006E1E9D" w:rsidP="006E1E9D">
      <w:pPr>
        <w:rPr>
          <w:i/>
        </w:rPr>
      </w:pPr>
      <w:r w:rsidRPr="007C732F">
        <w:t>Pour connaître les techniciens pouvant réaliser ces bilans,</w:t>
      </w:r>
      <w:r w:rsidRPr="00AA306F">
        <w:t xml:space="preserve"> </w:t>
      </w:r>
      <w:r w:rsidRPr="00AA4FDE">
        <w:t>contactez l’opérateur du territoire (</w:t>
      </w:r>
      <w:r w:rsidRPr="00AA4FDE">
        <w:rPr>
          <w:i/>
          <w:highlight w:val="yellow"/>
        </w:rPr>
        <w:t>nom de la structure et coordonnées</w:t>
      </w:r>
      <w:r w:rsidRPr="00AA4FDE">
        <w:t>) ou la DDT(M)</w:t>
      </w:r>
      <w:r w:rsidRPr="00AA4FDE">
        <w:rPr>
          <w:i/>
        </w:rPr>
        <w:t xml:space="preserve"> </w:t>
      </w:r>
      <w:r w:rsidRPr="00AA4FDE">
        <w:rPr>
          <w:i/>
          <w:highlight w:val="yellow"/>
        </w:rPr>
        <w:t>(à modifier éventuellement avec les coordonnées des techniciens directement)</w:t>
      </w:r>
      <w:r w:rsidRPr="00AA4FDE">
        <w:rPr>
          <w:i/>
        </w:rPr>
        <w:t xml:space="preserve"> </w:t>
      </w:r>
    </w:p>
    <w:p w14:paraId="58B5C49E" w14:textId="77777777" w:rsidR="006E1E9D" w:rsidRPr="00AA4FDE" w:rsidRDefault="006E1E9D" w:rsidP="006E1E9D">
      <w:pPr>
        <w:pStyle w:val="Paragraphedeliste"/>
        <w:numPr>
          <w:ilvl w:val="0"/>
          <w:numId w:val="13"/>
        </w:numPr>
      </w:pPr>
      <w:r w:rsidRPr="00AA4FDE">
        <w:rPr>
          <w:b/>
          <w:u w:val="single"/>
        </w:rPr>
        <w:t>Contenu du bilan</w:t>
      </w:r>
    </w:p>
    <w:p w14:paraId="5044CCB2" w14:textId="77777777" w:rsidR="006E1E9D" w:rsidRPr="00AA4FDE" w:rsidRDefault="006E1E9D" w:rsidP="006E1E9D">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7A6DA6B2" w14:textId="77777777" w:rsidR="006E1E9D" w:rsidRPr="00AA4FDE" w:rsidRDefault="006E1E9D" w:rsidP="006E1E9D">
      <w:pPr>
        <w:pStyle w:val="NormalWeb"/>
        <w:spacing w:before="62" w:beforeAutospacing="0" w:after="0"/>
        <w:jc w:val="both"/>
        <w:rPr>
          <w:rFonts w:ascii="Marianne" w:hAnsi="Marianne" w:cs="Calibri"/>
          <w:iCs/>
          <w:color w:val="000000"/>
          <w:sz w:val="22"/>
        </w:rPr>
      </w:pPr>
    </w:p>
    <w:p w14:paraId="5BA0F94B" w14:textId="77777777" w:rsidR="006E1E9D" w:rsidRPr="00AA4FDE" w:rsidRDefault="006E1E9D" w:rsidP="006E1E9D">
      <w:pPr>
        <w:rPr>
          <w:rFonts w:cs="Calibri"/>
          <w:iCs/>
          <w:color w:val="000000"/>
        </w:rPr>
      </w:pPr>
      <w:r w:rsidRPr="00AA4FDE">
        <w:rPr>
          <w:rFonts w:cs="Calibri"/>
          <w:iCs/>
          <w:color w:val="000000"/>
        </w:rPr>
        <w:t>Tous les bilans, qu’ils soient ou non accompagnés, doivent inclure les calculs des indicateurs de fréquence de traitement (IFT) de la campagne culturale n-1/n</w:t>
      </w:r>
      <w:r>
        <w:rPr>
          <w:rFonts w:cs="Calibri"/>
          <w:iCs/>
          <w:color w:val="000000"/>
        </w:rPr>
        <w:t>.</w:t>
      </w:r>
      <w:r w:rsidRPr="00AA4FDE">
        <w:rPr>
          <w:rFonts w:cs="Calibri"/>
          <w:iCs/>
          <w:color w:val="000000"/>
        </w:rPr>
        <w:t xml:space="preserve"> </w:t>
      </w:r>
    </w:p>
    <w:p w14:paraId="49888B30" w14:textId="77777777" w:rsidR="006E1E9D" w:rsidRPr="007C732F" w:rsidRDefault="006E1E9D" w:rsidP="006E1E9D">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16507B38" w14:textId="77777777" w:rsidR="006E1E9D" w:rsidRPr="007C732F" w:rsidRDefault="006E1E9D" w:rsidP="006E1E9D">
      <w:pPr>
        <w:pStyle w:val="NormalWeb"/>
        <w:numPr>
          <w:ilvl w:val="0"/>
          <w:numId w:val="39"/>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2893D176"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49D76599"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67616E3B" w14:textId="77777777" w:rsidR="006E1E9D" w:rsidRPr="007C732F" w:rsidRDefault="006E1E9D" w:rsidP="006E1E9D">
      <w:pPr>
        <w:pStyle w:val="NormalWeb"/>
        <w:numPr>
          <w:ilvl w:val="1"/>
          <w:numId w:val="39"/>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1FCEAA7F" w14:textId="77777777" w:rsidR="006E1E9D" w:rsidRPr="00AA306F" w:rsidRDefault="006E1E9D" w:rsidP="006E1E9D">
      <w:pPr>
        <w:pStyle w:val="NormalWeb"/>
        <w:numPr>
          <w:ilvl w:val="0"/>
          <w:numId w:val="39"/>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566F948A" w14:textId="77777777" w:rsidR="006E1E9D" w:rsidRPr="00AA4FDE" w:rsidRDefault="006E1E9D" w:rsidP="006E1E9D">
      <w:pPr>
        <w:pStyle w:val="NormalWeb"/>
        <w:spacing w:before="62" w:beforeAutospacing="0" w:after="0"/>
        <w:rPr>
          <w:rFonts w:ascii="Marianne" w:hAnsi="Marianne" w:cs="Calibri"/>
          <w:b/>
          <w:bCs/>
          <w:i/>
          <w:iCs/>
          <w:color w:val="000000"/>
          <w:sz w:val="22"/>
          <w:u w:val="single"/>
          <w:shd w:val="clear" w:color="auto" w:fill="FFFF00"/>
        </w:rPr>
      </w:pPr>
    </w:p>
    <w:p w14:paraId="11A25A23" w14:textId="77777777" w:rsidR="006E1E9D" w:rsidRPr="00AA4FDE" w:rsidRDefault="006E1E9D" w:rsidP="006E1E9D">
      <w:pPr>
        <w:pStyle w:val="Paragraphedeliste"/>
        <w:keepNext/>
        <w:numPr>
          <w:ilvl w:val="0"/>
          <w:numId w:val="13"/>
        </w:numPr>
        <w:rPr>
          <w:b/>
          <w:u w:val="single"/>
        </w:rPr>
      </w:pPr>
      <w:r w:rsidRPr="00AA4FDE">
        <w:rPr>
          <w:b/>
          <w:u w:val="single"/>
        </w:rPr>
        <w:t xml:space="preserve">Calcul des IFT </w:t>
      </w:r>
    </w:p>
    <w:p w14:paraId="1C68A8B0" w14:textId="77777777" w:rsidR="006E1E9D" w:rsidRPr="00AA4FDE" w:rsidRDefault="006E1E9D" w:rsidP="006E1E9D">
      <w:pPr>
        <w:pStyle w:val="Paragraphedeliste"/>
        <w:keepNext/>
        <w:rPr>
          <w:b/>
          <w:u w:val="single"/>
        </w:rPr>
      </w:pPr>
    </w:p>
    <w:p w14:paraId="761C35B6" w14:textId="77777777" w:rsidR="006E1E9D" w:rsidRPr="00AA4FDE" w:rsidRDefault="006E1E9D" w:rsidP="006E1E9D">
      <w:pPr>
        <w:pStyle w:val="Paragraphedeliste"/>
        <w:keepNext/>
        <w:numPr>
          <w:ilvl w:val="1"/>
          <w:numId w:val="13"/>
        </w:numPr>
        <w:rPr>
          <w:u w:val="single"/>
        </w:rPr>
      </w:pPr>
      <w:r w:rsidRPr="00AA4FDE">
        <w:rPr>
          <w:u w:val="single"/>
        </w:rPr>
        <w:t>Résultats attendus</w:t>
      </w:r>
    </w:p>
    <w:p w14:paraId="334575CA" w14:textId="77777777" w:rsidR="006E1E9D" w:rsidRPr="00AA4FDE" w:rsidRDefault="006E1E9D" w:rsidP="006E1E9D">
      <w:pPr>
        <w:keepNext/>
      </w:pPr>
      <w:r w:rsidRPr="00AA4FDE">
        <w:t xml:space="preserve">Plusieurs calculs doivent </w:t>
      </w:r>
      <w:r w:rsidRPr="0000793B">
        <w:t>être réalisés chaque année, dès la première année d’engagement, et indiqués dans le bilan IFT :</w:t>
      </w:r>
    </w:p>
    <w:p w14:paraId="0AC484CD" w14:textId="77777777" w:rsidR="006E1E9D" w:rsidRPr="00AA4FDE" w:rsidRDefault="006E1E9D" w:rsidP="006E1E9D">
      <w:pPr>
        <w:pStyle w:val="Paragraphedeliste"/>
        <w:numPr>
          <w:ilvl w:val="0"/>
          <w:numId w:val="30"/>
        </w:numPr>
        <w:suppressAutoHyphens/>
      </w:pPr>
      <w:r w:rsidRPr="00AA4FDE">
        <w:t xml:space="preserve">L’IFT Herbicides moyen des surfaces en grandes cultures (y compris la betterave sucrière et fourragère) et herbacées </w:t>
      </w:r>
      <w:r w:rsidRPr="00AA4FDE">
        <w:rPr>
          <w:u w:val="single"/>
        </w:rPr>
        <w:t>engagées</w:t>
      </w:r>
      <w:r w:rsidRPr="00AA4FDE">
        <w:t xml:space="preserve"> dans la mesure ;</w:t>
      </w:r>
    </w:p>
    <w:p w14:paraId="30276BB7" w14:textId="77777777" w:rsidR="006E1E9D" w:rsidRPr="00AA4FDE" w:rsidRDefault="006E1E9D" w:rsidP="006E1E9D">
      <w:pPr>
        <w:pStyle w:val="Paragraphedeliste"/>
        <w:numPr>
          <w:ilvl w:val="0"/>
          <w:numId w:val="30"/>
        </w:numPr>
        <w:suppressAutoHyphens/>
      </w:pPr>
      <w:r w:rsidRPr="00AA4FDE">
        <w:t xml:space="preserve">L’IFT Herbicides moyen des surfaces en grandes cultures (y compris la betterave sucrière et fourragère) et herbacées </w:t>
      </w:r>
      <w:r w:rsidRPr="00AA4FDE">
        <w:rPr>
          <w:u w:val="single"/>
        </w:rPr>
        <w:t>éligibles mais non engagées</w:t>
      </w:r>
      <w:r w:rsidRPr="00AA4FDE">
        <w:t xml:space="preserve"> dans la mesure.</w:t>
      </w:r>
    </w:p>
    <w:p w14:paraId="735C0AA4" w14:textId="77777777" w:rsidR="006E1E9D" w:rsidRPr="00AA4FDE" w:rsidRDefault="006E1E9D" w:rsidP="006E1E9D">
      <w:pPr>
        <w:suppressAutoHyphens/>
      </w:pPr>
      <w:r w:rsidRPr="00AA4FDE">
        <w:t>De plus, si l’assolement de l’année contient des cultures légumières de plein champ (y compris la pomme</w:t>
      </w:r>
      <w:r>
        <w:t xml:space="preserve"> </w:t>
      </w:r>
      <w:r w:rsidRPr="00AA4FDE">
        <w:t>de</w:t>
      </w:r>
      <w:r>
        <w:t xml:space="preserve"> </w:t>
      </w:r>
      <w:r w:rsidRPr="00AA4FDE">
        <w:t>terre), deux calculs supplémentaires sont attendus chaque année :</w:t>
      </w:r>
    </w:p>
    <w:p w14:paraId="2D113A81" w14:textId="77777777"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Pr="00AA4FDE">
        <w:rPr>
          <w:u w:val="single"/>
        </w:rPr>
        <w:t>engagées</w:t>
      </w:r>
      <w:r w:rsidRPr="00AA4FDE">
        <w:t xml:space="preserve"> dans la mesure ;</w:t>
      </w:r>
    </w:p>
    <w:p w14:paraId="08FE2356" w14:textId="77777777" w:rsidR="006E1E9D" w:rsidRPr="00AA4FDE" w:rsidRDefault="006E1E9D" w:rsidP="006E1E9D">
      <w:pPr>
        <w:pStyle w:val="Paragraphedeliste"/>
        <w:numPr>
          <w:ilvl w:val="0"/>
          <w:numId w:val="31"/>
        </w:numPr>
        <w:suppressAutoHyphens/>
      </w:pPr>
      <w:r w:rsidRPr="00AA4FDE">
        <w:t xml:space="preserve">L’IFT Herbicides moyen des surfaces en cultures légumières et pomme de terre </w:t>
      </w:r>
      <w:r w:rsidRPr="00AA4FDE">
        <w:rPr>
          <w:u w:val="single"/>
        </w:rPr>
        <w:t>éligibles mais non engagées</w:t>
      </w:r>
      <w:r w:rsidRPr="00AA4FDE">
        <w:t xml:space="preserve"> dans la mesure.</w:t>
      </w:r>
    </w:p>
    <w:p w14:paraId="189E3DC3" w14:textId="77777777" w:rsidR="006E1E9D" w:rsidRPr="00AA4FDE" w:rsidRDefault="006E1E9D" w:rsidP="006E1E9D">
      <w:pPr>
        <w:pStyle w:val="Paragraphedeliste"/>
        <w:suppressAutoHyphens/>
      </w:pPr>
    </w:p>
    <w:p w14:paraId="09B41911" w14:textId="77777777" w:rsidR="006E1E9D" w:rsidRPr="00AA4FDE" w:rsidRDefault="006E1E9D" w:rsidP="006E1E9D">
      <w:pPr>
        <w:pStyle w:val="Paragraphedeliste"/>
        <w:numPr>
          <w:ilvl w:val="1"/>
          <w:numId w:val="29"/>
        </w:numPr>
        <w:suppressAutoHyphens/>
        <w:rPr>
          <w:u w:val="single"/>
        </w:rPr>
      </w:pPr>
      <w:r w:rsidRPr="00AA4FDE">
        <w:rPr>
          <w:u w:val="single"/>
        </w:rPr>
        <w:t>Période prise en compte au titre de chaque campagne</w:t>
      </w:r>
    </w:p>
    <w:p w14:paraId="5D324FA1" w14:textId="77777777" w:rsidR="006E1E9D" w:rsidRPr="00AA4FDE" w:rsidRDefault="006E1E9D" w:rsidP="006E1E9D">
      <w:r w:rsidRPr="00AA4FDE">
        <w:t xml:space="preserve">Le calcul se fait chaque année sur la campagne culturale n-1/n. Par exemple, pour un exploitant engagé au 15 mai 2023, le premier bilan IFT à calculer est celui de la campagne culturale </w:t>
      </w:r>
      <w:r w:rsidRPr="00AA4FDE">
        <w:rPr>
          <w:u w:val="single"/>
        </w:rPr>
        <w:t>2022/2023</w:t>
      </w:r>
      <w:r w:rsidRPr="00AA4FDE">
        <w:t>, à transmettre à</w:t>
      </w:r>
      <w:r>
        <w:t xml:space="preserve"> l</w:t>
      </w:r>
      <w:r w:rsidRPr="00AA4FDE">
        <w:t xml:space="preserve">a DDT(M) </w:t>
      </w:r>
      <w:r w:rsidRPr="00AA4FDE">
        <w:rPr>
          <w:u w:val="single"/>
        </w:rPr>
        <w:t>avant le 31 octobre 2023</w:t>
      </w:r>
      <w:r w:rsidRPr="00AA4FDE">
        <w:t>. Pour les cultures légumières, notamment si plusieurs cycles de culture sont réalisés, tous les traitements réalisés sur les cultures entre le 1</w:t>
      </w:r>
      <w:r w:rsidRPr="00AA4FDE">
        <w:rPr>
          <w:vertAlign w:val="superscript"/>
        </w:rPr>
        <w:t>er</w:t>
      </w:r>
      <w:r w:rsidRPr="00AA4FDE">
        <w:t xml:space="preserve"> septembre n-1 et le 31 août n sont à prendre en compte.</w:t>
      </w:r>
    </w:p>
    <w:p w14:paraId="6E25C501" w14:textId="77777777" w:rsidR="006E1E9D" w:rsidRPr="00AA4FDE" w:rsidRDefault="006E1E9D" w:rsidP="006E1E9D">
      <w:r w:rsidRPr="00AA4FDE">
        <w:t>Le schéma ci-dessous présente les périodes à prendre en compte pour un exploitant s’engageant dans cette mesure au 15 mai 2023 :</w:t>
      </w:r>
    </w:p>
    <w:p w14:paraId="3A039852" w14:textId="77777777" w:rsidR="006E1E9D" w:rsidRPr="00AA4FDE" w:rsidRDefault="006E1E9D" w:rsidP="006E1E9D">
      <w:r w:rsidRPr="00AA4FDE">
        <w:rPr>
          <w:noProof/>
          <w:lang w:eastAsia="fr-FR"/>
        </w:rPr>
        <w:drawing>
          <wp:inline distT="0" distB="0" distL="0" distR="0" wp14:anchorId="4B5EE405" wp14:editId="125E6292">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36F75D6D" w14:textId="77777777" w:rsidR="006E1E9D" w:rsidRPr="00AA4FDE" w:rsidRDefault="006E1E9D" w:rsidP="006E1E9D">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année d’engagement)</w:t>
      </w:r>
    </w:p>
    <w:p w14:paraId="4AC7FE0E" w14:textId="77777777" w:rsidR="006E1E9D" w:rsidRPr="00AA4FDE" w:rsidRDefault="006E1E9D" w:rsidP="006E1E9D">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(au titre de la deuxième année d’engagement)</w:t>
      </w:r>
    </w:p>
    <w:p w14:paraId="756A48A8" w14:textId="77777777" w:rsidR="006E1E9D" w:rsidRPr="00AA4FDE" w:rsidRDefault="006E1E9D" w:rsidP="006E1E9D"/>
    <w:p w14:paraId="0972529D" w14:textId="77777777" w:rsidR="006E1E9D" w:rsidRPr="00AA4FDE" w:rsidRDefault="006E1E9D" w:rsidP="006E1E9D">
      <w:pPr>
        <w:pStyle w:val="Paragraphedeliste"/>
        <w:numPr>
          <w:ilvl w:val="1"/>
          <w:numId w:val="29"/>
        </w:numPr>
        <w:rPr>
          <w:u w:val="single"/>
        </w:rPr>
      </w:pPr>
      <w:r w:rsidRPr="00AA4FDE">
        <w:rPr>
          <w:u w:val="single"/>
        </w:rPr>
        <w:t>Réalisation du calcul</w:t>
      </w:r>
    </w:p>
    <w:p w14:paraId="01D81500" w14:textId="77777777" w:rsidR="006E1E9D" w:rsidRPr="00AA4FDE" w:rsidRDefault="006E1E9D" w:rsidP="006E1E9D">
      <w:pPr>
        <w:rPr>
          <w:b/>
        </w:rPr>
      </w:pPr>
      <w:r w:rsidRPr="00AA4FDE">
        <w:rPr>
          <w:b/>
        </w:rPr>
        <w:t>Les calcul</w:t>
      </w:r>
      <w:r>
        <w:rPr>
          <w:b/>
        </w:rPr>
        <w:t>s doivent être certifiés par l'a</w:t>
      </w:r>
      <w:r w:rsidRPr="00AA4FDE">
        <w:rPr>
          <w:b/>
        </w:rPr>
        <w:t>telier de calcul du MASA</w:t>
      </w:r>
      <w:r w:rsidRPr="00AA4FDE">
        <w:rPr>
          <w:rStyle w:val="Appelnotedebasdep"/>
          <w:b/>
        </w:rPr>
        <w:footnoteReference w:id="6"/>
      </w:r>
      <w:r w:rsidRPr="00AA4FDE">
        <w:rPr>
          <w:b/>
        </w:rPr>
        <w:t xml:space="preserve"> et se faire en utilisant le référentiel défini par le ministère pour la campagne culturale concernée. </w:t>
      </w:r>
    </w:p>
    <w:p w14:paraId="59AA4ACF" w14:textId="77777777" w:rsidR="006E1E9D" w:rsidRPr="00AA4FDE" w:rsidRDefault="006E1E9D" w:rsidP="006E1E9D">
      <w:pPr>
        <w:rPr>
          <w:bCs/>
        </w:rPr>
      </w:pPr>
      <w:r w:rsidRPr="00AA4FDE">
        <w:rPr>
          <w:bCs/>
        </w:rPr>
        <w:t>Dans cette mesure, seuls les traitements herbicides sont à prendre en compte dans le calcul de l’IFT.</w:t>
      </w:r>
    </w:p>
    <w:p w14:paraId="7504CEAD" w14:textId="77777777" w:rsidR="006E1E9D" w:rsidRPr="00AA4FDE" w:rsidRDefault="006E1E9D" w:rsidP="006E1E9D">
      <w:r w:rsidRPr="00AA4FDE">
        <w:t xml:space="preserve">A noter : </w:t>
      </w:r>
    </w:p>
    <w:p w14:paraId="5479ADC5" w14:textId="77777777" w:rsidR="006E1E9D" w:rsidRPr="0000793B" w:rsidRDefault="006E1E9D" w:rsidP="006E1E9D">
      <w:pPr>
        <w:pStyle w:val="Paragraphedeliste"/>
        <w:numPr>
          <w:ilvl w:val="0"/>
          <w:numId w:val="29"/>
        </w:numPr>
      </w:pPr>
      <w:r w:rsidRPr="0000793B">
        <w:t>L'atelier de calcul du MASA</w:t>
      </w:r>
      <w:r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t xml:space="preserve"> </w:t>
      </w:r>
    </w:p>
    <w:p w14:paraId="5B0C4032" w14:textId="77777777" w:rsidR="006E1E9D" w:rsidRPr="0000793B" w:rsidRDefault="006E1E9D" w:rsidP="006E1E9D">
      <w:pPr>
        <w:pStyle w:val="Paragraphedeliste"/>
        <w:numPr>
          <w:ilvl w:val="0"/>
          <w:numId w:val="29"/>
        </w:numPr>
      </w:pPr>
      <w:r w:rsidRPr="0000793B">
        <w:t xml:space="preserve">Si vous avez utilisé des produits de biocontrôle, alors deux compartiments sont distingués pour le calcul de l’IFT : d’une part l’IFT moyen des produits de biocontrôle, et d’autre part l’IFT moyen des autres produits. </w:t>
      </w:r>
      <w:r w:rsidRPr="0000793B">
        <w:rPr>
          <w:u w:val="single"/>
        </w:rPr>
        <w:t>Le respect de vos engagements sera vérifié uniquement sur la base de l’IFT des produits autres que de biocontrôle.</w:t>
      </w:r>
    </w:p>
    <w:p w14:paraId="0007B202" w14:textId="77777777" w:rsidR="006E1E9D" w:rsidRPr="0000793B" w:rsidRDefault="006E1E9D" w:rsidP="006E1E9D">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4244A329" w14:textId="77777777" w:rsidR="006E1E9D" w:rsidRPr="00AA4FDE" w:rsidRDefault="006E1E9D" w:rsidP="006E1E9D">
      <w:pPr>
        <w:pStyle w:val="Paragraphedeliste"/>
        <w:numPr>
          <w:ilvl w:val="0"/>
          <w:numId w:val="29"/>
        </w:numPr>
        <w:rPr>
          <w:u w:val="single"/>
        </w:rPr>
      </w:pPr>
      <w:r w:rsidRPr="00AA4FDE">
        <w:rPr>
          <w:u w:val="single"/>
        </w:rPr>
        <w:t xml:space="preserve">Si les semences utilisées ont été traitées, il convient de rajouter 1 à l’IFT </w:t>
      </w:r>
      <w:r>
        <w:rPr>
          <w:u w:val="single"/>
        </w:rPr>
        <w:t xml:space="preserve">de la </w:t>
      </w:r>
      <w:r w:rsidRPr="00AA4FDE">
        <w:rPr>
          <w:u w:val="single"/>
        </w:rPr>
        <w:t>parcell</w:t>
      </w:r>
      <w:r w:rsidRPr="003E7CFD">
        <w:rPr>
          <w:u w:val="single"/>
        </w:rPr>
        <w:t>e</w:t>
      </w:r>
      <w:r w:rsidRPr="003E7CFD">
        <w:rPr>
          <w:rStyle w:val="Appelnotedebasdep"/>
          <w:u w:val="single"/>
        </w:rPr>
        <w:footnoteReference w:id="7"/>
      </w:r>
      <w:r w:rsidRPr="003E7CFD">
        <w:rPr>
          <w:u w:val="single"/>
        </w:rPr>
        <w:t>.</w:t>
      </w:r>
    </w:p>
    <w:p w14:paraId="5E342AB8" w14:textId="031552D9" w:rsidR="006E1E9D" w:rsidRDefault="006E1E9D" w:rsidP="006E1E9D">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64181231" w14:textId="7AF8D7CF" w:rsidR="006E1E9D" w:rsidRPr="006E1E9D" w:rsidRDefault="00C15A21" w:rsidP="006E1E9D">
      <w:pPr>
        <w:rPr>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1BB2091D" w14:textId="2B94D5B9" w:rsidR="00546440" w:rsidRPr="00AA4FDE" w:rsidRDefault="00C635B7" w:rsidP="006E1E9D">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0061F" w:rsidRDefault="0080061F" w:rsidP="005651E7">
      <w:pPr>
        <w:spacing w:after="0" w:line="240" w:lineRule="auto"/>
      </w:pPr>
      <w:r>
        <w:separator/>
      </w:r>
    </w:p>
  </w:endnote>
  <w:endnote w:type="continuationSeparator" w:id="0">
    <w:p w14:paraId="1B161431" w14:textId="77777777" w:rsidR="0080061F" w:rsidRDefault="0080061F"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80061F" w:rsidRDefault="008006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90CFF6D" w:rsidR="0080061F" w:rsidRDefault="0080061F">
        <w:pPr>
          <w:pStyle w:val="Pieddepage"/>
          <w:jc w:val="right"/>
        </w:pPr>
        <w:r>
          <w:fldChar w:fldCharType="begin"/>
        </w:r>
        <w:r>
          <w:instrText>PAGE   \* MERGEFORMAT</w:instrText>
        </w:r>
        <w:r>
          <w:fldChar w:fldCharType="separate"/>
        </w:r>
        <w:r w:rsidR="00C15A21">
          <w:rPr>
            <w:noProof/>
          </w:rPr>
          <w:t>1</w:t>
        </w:r>
        <w:r>
          <w:fldChar w:fldCharType="end"/>
        </w:r>
      </w:p>
    </w:sdtContent>
  </w:sdt>
  <w:p w14:paraId="02189139" w14:textId="11488D6A" w:rsidR="0080061F" w:rsidRDefault="00C15A21">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80061F" w:rsidRDefault="008006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0061F" w:rsidRDefault="0080061F" w:rsidP="005651E7">
      <w:pPr>
        <w:spacing w:after="0" w:line="240" w:lineRule="auto"/>
      </w:pPr>
      <w:r>
        <w:separator/>
      </w:r>
    </w:p>
  </w:footnote>
  <w:footnote w:type="continuationSeparator" w:id="0">
    <w:p w14:paraId="3E0B69D4" w14:textId="77777777" w:rsidR="0080061F" w:rsidRDefault="0080061F" w:rsidP="005651E7">
      <w:pPr>
        <w:spacing w:after="0" w:line="240" w:lineRule="auto"/>
      </w:pPr>
      <w:r>
        <w:continuationSeparator/>
      </w:r>
    </w:p>
  </w:footnote>
  <w:footnote w:id="1">
    <w:p w14:paraId="46278AAD" w14:textId="3F734C1E" w:rsidR="0080061F" w:rsidRDefault="0080061F">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80061F" w:rsidRPr="00544D7C" w:rsidRDefault="0080061F"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80061F" w:rsidRPr="00076ADF" w:rsidRDefault="0080061F"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80061F" w:rsidRPr="00076ADF" w:rsidRDefault="0080061F"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80061F" w:rsidRDefault="0080061F"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 w:id="6">
    <w:p w14:paraId="49F82AD8" w14:textId="77777777" w:rsidR="0080061F" w:rsidRPr="003E7CFD" w:rsidRDefault="0080061F" w:rsidP="006E1E9D">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7">
    <w:p w14:paraId="509075F6" w14:textId="77777777" w:rsidR="0080061F" w:rsidRPr="00010221" w:rsidRDefault="0080061F" w:rsidP="006E1E9D">
      <w:pPr>
        <w:pStyle w:val="Notedebasdepage"/>
      </w:pPr>
      <w:r w:rsidRPr="003E7CFD">
        <w:rPr>
          <w:rStyle w:val="Appelnotedebasdep"/>
          <w:sz w:val="18"/>
          <w:szCs w:val="18"/>
        </w:rPr>
        <w:footnoteRef/>
      </w:r>
      <w:r w:rsidRPr="003E7CFD">
        <w:rPr>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13240BF7" w:rsidR="0080061F" w:rsidRDefault="008006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68EBC8DC" w:rsidR="0080061F" w:rsidRDefault="008006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3B5DA8DD" w:rsidR="0080061F" w:rsidRDefault="008006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6"/>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0"/>
  </w:num>
  <w:num w:numId="21">
    <w:abstractNumId w:val="19"/>
  </w:num>
  <w:num w:numId="22">
    <w:abstractNumId w:val="0"/>
  </w:num>
  <w:num w:numId="23">
    <w:abstractNumId w:val="35"/>
  </w:num>
  <w:num w:numId="24">
    <w:abstractNumId w:val="13"/>
  </w:num>
  <w:num w:numId="25">
    <w:abstractNumId w:val="37"/>
  </w:num>
  <w:num w:numId="26">
    <w:abstractNumId w:val="39"/>
  </w:num>
  <w:num w:numId="27">
    <w:abstractNumId w:val="32"/>
  </w:num>
  <w:num w:numId="28">
    <w:abstractNumId w:val="34"/>
  </w:num>
  <w:num w:numId="29">
    <w:abstractNumId w:val="12"/>
  </w:num>
  <w:num w:numId="30">
    <w:abstractNumId w:val="38"/>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1"/>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1C9E"/>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481B"/>
    <w:rsid w:val="0063508B"/>
    <w:rsid w:val="00642A58"/>
    <w:rsid w:val="00652737"/>
    <w:rsid w:val="00660D41"/>
    <w:rsid w:val="00663EBC"/>
    <w:rsid w:val="00667911"/>
    <w:rsid w:val="006747DE"/>
    <w:rsid w:val="00674E79"/>
    <w:rsid w:val="0068296E"/>
    <w:rsid w:val="0068710A"/>
    <w:rsid w:val="006B14C1"/>
    <w:rsid w:val="006C66E9"/>
    <w:rsid w:val="006D7D70"/>
    <w:rsid w:val="006E0184"/>
    <w:rsid w:val="006E0250"/>
    <w:rsid w:val="006E1E9D"/>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61EB"/>
    <w:rsid w:val="0080061F"/>
    <w:rsid w:val="00803D32"/>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CC"/>
    <w:rsid w:val="00914AE8"/>
    <w:rsid w:val="00942999"/>
    <w:rsid w:val="009508C7"/>
    <w:rsid w:val="009517AD"/>
    <w:rsid w:val="009614F6"/>
    <w:rsid w:val="00971008"/>
    <w:rsid w:val="009717E1"/>
    <w:rsid w:val="00972A22"/>
    <w:rsid w:val="00977F63"/>
    <w:rsid w:val="009906FE"/>
    <w:rsid w:val="009A27CB"/>
    <w:rsid w:val="009A63D2"/>
    <w:rsid w:val="009B2CDB"/>
    <w:rsid w:val="009C2134"/>
    <w:rsid w:val="009D264C"/>
    <w:rsid w:val="009D7664"/>
    <w:rsid w:val="009E111F"/>
    <w:rsid w:val="009E21F1"/>
    <w:rsid w:val="009E3C78"/>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58F"/>
    <w:rsid w:val="00AE799D"/>
    <w:rsid w:val="00B07C62"/>
    <w:rsid w:val="00B26E45"/>
    <w:rsid w:val="00B27A09"/>
    <w:rsid w:val="00B36535"/>
    <w:rsid w:val="00B450A6"/>
    <w:rsid w:val="00B50057"/>
    <w:rsid w:val="00B5587B"/>
    <w:rsid w:val="00B66563"/>
    <w:rsid w:val="00B73BC3"/>
    <w:rsid w:val="00B8362E"/>
    <w:rsid w:val="00BA6635"/>
    <w:rsid w:val="00BA6F2B"/>
    <w:rsid w:val="00BA7991"/>
    <w:rsid w:val="00BB3838"/>
    <w:rsid w:val="00BB794A"/>
    <w:rsid w:val="00BC33AC"/>
    <w:rsid w:val="00BC3B54"/>
    <w:rsid w:val="00BC45CC"/>
    <w:rsid w:val="00BD53CF"/>
    <w:rsid w:val="00BF1A7D"/>
    <w:rsid w:val="00C101A2"/>
    <w:rsid w:val="00C1192C"/>
    <w:rsid w:val="00C11DBB"/>
    <w:rsid w:val="00C15A21"/>
    <w:rsid w:val="00C2409A"/>
    <w:rsid w:val="00C3272E"/>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108AA"/>
    <w:rsid w:val="00D15C9A"/>
    <w:rsid w:val="00D223F1"/>
    <w:rsid w:val="00D35DD5"/>
    <w:rsid w:val="00D42F72"/>
    <w:rsid w:val="00D50D67"/>
    <w:rsid w:val="00D660AA"/>
    <w:rsid w:val="00D74FB5"/>
    <w:rsid w:val="00D84259"/>
    <w:rsid w:val="00D851A1"/>
    <w:rsid w:val="00D87668"/>
    <w:rsid w:val="00D876DD"/>
    <w:rsid w:val="00D965E9"/>
    <w:rsid w:val="00DA0E08"/>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42EF2"/>
    <w:rsid w:val="00E62866"/>
    <w:rsid w:val="00E75AF0"/>
    <w:rsid w:val="00E75DA9"/>
    <w:rsid w:val="00E82127"/>
    <w:rsid w:val="00E833B5"/>
    <w:rsid w:val="00E9049F"/>
    <w:rsid w:val="00E9374E"/>
    <w:rsid w:val="00E975FA"/>
    <w:rsid w:val="00EA29A5"/>
    <w:rsid w:val="00EB09C8"/>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7114-EE64-4F83-BD20-6184BB78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5708</Words>
  <Characters>31396</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9</cp:revision>
  <cp:lastPrinted>2022-08-08T15:28:00Z</cp:lastPrinted>
  <dcterms:created xsi:type="dcterms:W3CDTF">2022-12-12T14:44:00Z</dcterms:created>
  <dcterms:modified xsi:type="dcterms:W3CDTF">2023-01-31T14:53:00Z</dcterms:modified>
</cp:coreProperties>
</file>